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88" w:rsidRDefault="001F4788" w:rsidP="000B7D95"/>
    <w:p w:rsidR="00A80140" w:rsidRDefault="00A80140" w:rsidP="000B7D95"/>
    <w:tbl>
      <w:tblPr>
        <w:tblW w:w="9000" w:type="dxa"/>
        <w:jc w:val="center"/>
        <w:tblCellSpacing w:w="0" w:type="dxa"/>
        <w:tblCellMar>
          <w:left w:w="0" w:type="dxa"/>
          <w:right w:w="0" w:type="dxa"/>
        </w:tblCellMar>
        <w:tblLook w:val="04A0" w:firstRow="1" w:lastRow="0" w:firstColumn="1" w:lastColumn="0" w:noHBand="0" w:noVBand="1"/>
      </w:tblPr>
      <w:tblGrid>
        <w:gridCol w:w="301"/>
        <w:gridCol w:w="19"/>
        <w:gridCol w:w="8019"/>
        <w:gridCol w:w="136"/>
        <w:gridCol w:w="225"/>
        <w:gridCol w:w="300"/>
      </w:tblGrid>
      <w:tr w:rsidR="00A80140" w:rsidTr="00494110">
        <w:trPr>
          <w:trHeight w:val="300"/>
          <w:tblCellSpacing w:w="0" w:type="dxa"/>
          <w:jc w:val="center"/>
        </w:trPr>
        <w:tc>
          <w:tcPr>
            <w:tcW w:w="284" w:type="dxa"/>
            <w:shd w:val="clear" w:color="auto" w:fill="19345F"/>
            <w:vAlign w:val="center"/>
            <w:hideMark/>
          </w:tcPr>
          <w:p w:rsidR="00A80140" w:rsidRDefault="00A80140" w:rsidP="000B7D95">
            <w:r>
              <w:rPr>
                <w:noProof/>
              </w:rPr>
              <w:drawing>
                <wp:inline distT="0" distB="0" distL="0" distR="0">
                  <wp:extent cx="190500" cy="190500"/>
                  <wp:effectExtent l="0" t="0" r="0" b="0"/>
                  <wp:docPr id="45" name="Afbeelding 45"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050" w:type="dxa"/>
            <w:gridSpan w:val="2"/>
            <w:shd w:val="clear" w:color="auto" w:fill="19345F"/>
            <w:vAlign w:val="center"/>
            <w:hideMark/>
          </w:tcPr>
          <w:p w:rsidR="00A80140" w:rsidRDefault="00A80140" w:rsidP="000B7D95"/>
        </w:tc>
        <w:tc>
          <w:tcPr>
            <w:tcW w:w="0" w:type="auto"/>
            <w:shd w:val="clear" w:color="auto" w:fill="19345F"/>
            <w:vAlign w:val="center"/>
            <w:hideMark/>
          </w:tcPr>
          <w:p w:rsidR="00A80140" w:rsidRDefault="00A80140" w:rsidP="000B7D95"/>
        </w:tc>
        <w:tc>
          <w:tcPr>
            <w:tcW w:w="0" w:type="auto"/>
            <w:shd w:val="clear" w:color="auto" w:fill="19345F"/>
            <w:vAlign w:val="center"/>
            <w:hideMark/>
          </w:tcPr>
          <w:p w:rsidR="00A80140" w:rsidRDefault="00A80140" w:rsidP="000B7D95"/>
        </w:tc>
        <w:tc>
          <w:tcPr>
            <w:tcW w:w="0" w:type="auto"/>
            <w:shd w:val="clear" w:color="auto" w:fill="19345F"/>
            <w:vAlign w:val="center"/>
            <w:hideMark/>
          </w:tcPr>
          <w:p w:rsidR="00A80140" w:rsidRDefault="00A80140" w:rsidP="000B7D95"/>
        </w:tc>
      </w:tr>
      <w:tr w:rsidR="00A80140" w:rsidTr="00494110">
        <w:trPr>
          <w:trHeight w:val="225"/>
          <w:tblCellSpacing w:w="0" w:type="dxa"/>
          <w:jc w:val="center"/>
        </w:trPr>
        <w:tc>
          <w:tcPr>
            <w:tcW w:w="284" w:type="dxa"/>
            <w:shd w:val="clear" w:color="auto" w:fill="19345F"/>
            <w:vAlign w:val="center"/>
            <w:hideMark/>
          </w:tcPr>
          <w:p w:rsidR="00A80140" w:rsidRDefault="00A80140" w:rsidP="000B7D95"/>
        </w:tc>
        <w:tc>
          <w:tcPr>
            <w:tcW w:w="8050" w:type="dxa"/>
            <w:gridSpan w:val="2"/>
            <w:shd w:val="clear" w:color="auto" w:fill="FFFFFF"/>
            <w:vAlign w:val="center"/>
            <w:hideMark/>
          </w:tcPr>
          <w:p w:rsidR="00A80140" w:rsidRDefault="00A80140" w:rsidP="000B7D95"/>
        </w:tc>
        <w:tc>
          <w:tcPr>
            <w:tcW w:w="0" w:type="auto"/>
            <w:shd w:val="clear" w:color="auto" w:fill="FFFFFF"/>
            <w:vAlign w:val="center"/>
            <w:hideMark/>
          </w:tcPr>
          <w:p w:rsidR="00A80140" w:rsidRDefault="00A80140" w:rsidP="000B7D95"/>
        </w:tc>
        <w:tc>
          <w:tcPr>
            <w:tcW w:w="0" w:type="auto"/>
            <w:shd w:val="clear" w:color="auto" w:fill="FFFFFF"/>
            <w:vAlign w:val="center"/>
            <w:hideMark/>
          </w:tcPr>
          <w:p w:rsidR="00A80140" w:rsidRDefault="00A80140" w:rsidP="000B7D95">
            <w:r>
              <w:rPr>
                <w:noProof/>
              </w:rPr>
              <w:drawing>
                <wp:inline distT="0" distB="0" distL="0" distR="0">
                  <wp:extent cx="142875" cy="142875"/>
                  <wp:effectExtent l="0" t="0" r="0" b="0"/>
                  <wp:docPr id="44" name="Afbeelding 44"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shd w:val="clear" w:color="auto" w:fill="19345F"/>
            <w:vAlign w:val="center"/>
            <w:hideMark/>
          </w:tcPr>
          <w:p w:rsidR="00A80140" w:rsidRDefault="00A80140" w:rsidP="000B7D95"/>
        </w:tc>
      </w:tr>
      <w:tr w:rsidR="00A80140" w:rsidTr="00494110">
        <w:trPr>
          <w:tblCellSpacing w:w="0" w:type="dxa"/>
          <w:jc w:val="center"/>
        </w:trPr>
        <w:tc>
          <w:tcPr>
            <w:tcW w:w="284" w:type="dxa"/>
            <w:shd w:val="clear" w:color="auto" w:fill="19345F"/>
            <w:vAlign w:val="center"/>
            <w:hideMark/>
          </w:tcPr>
          <w:p w:rsidR="00A80140" w:rsidRDefault="00A80140" w:rsidP="000B7D95"/>
        </w:tc>
        <w:tc>
          <w:tcPr>
            <w:tcW w:w="20" w:type="dxa"/>
            <w:shd w:val="clear" w:color="auto" w:fill="FFFFFF"/>
            <w:vAlign w:val="center"/>
            <w:hideMark/>
          </w:tcPr>
          <w:p w:rsidR="00A80140" w:rsidRDefault="00A80140" w:rsidP="000B7D95"/>
        </w:tc>
        <w:tc>
          <w:tcPr>
            <w:tcW w:w="8171" w:type="dxa"/>
            <w:gridSpan w:val="2"/>
            <w:shd w:val="clear" w:color="auto" w:fill="FFFFFF"/>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A80140">
              <w:trPr>
                <w:tblCellSpacing w:w="0" w:type="dxa"/>
              </w:trPr>
              <w:tc>
                <w:tcPr>
                  <w:tcW w:w="7950" w:type="dxa"/>
                  <w:shd w:val="clear" w:color="auto" w:fill="FFFFFF"/>
                  <w:vAlign w:val="center"/>
                  <w:hideMark/>
                </w:tcPr>
                <w:tbl>
                  <w:tblPr>
                    <w:tblW w:w="7950" w:type="dxa"/>
                    <w:tblCellSpacing w:w="0" w:type="dxa"/>
                    <w:tblCellMar>
                      <w:left w:w="0" w:type="dxa"/>
                      <w:right w:w="0" w:type="dxa"/>
                    </w:tblCellMar>
                    <w:tblLook w:val="04A0" w:firstRow="1" w:lastRow="0" w:firstColumn="1" w:lastColumn="0" w:noHBand="0" w:noVBand="1"/>
                  </w:tblPr>
                  <w:tblGrid>
                    <w:gridCol w:w="28"/>
                    <w:gridCol w:w="7922"/>
                  </w:tblGrid>
                  <w:tr w:rsidR="00A80140">
                    <w:trPr>
                      <w:tblCellSpacing w:w="0" w:type="dxa"/>
                    </w:trPr>
                    <w:tc>
                      <w:tcPr>
                        <w:tcW w:w="0" w:type="auto"/>
                        <w:hideMark/>
                      </w:tcPr>
                      <w:p w:rsidR="00A80140" w:rsidRDefault="00A80140" w:rsidP="000B7D95"/>
                    </w:tc>
                    <w:tc>
                      <w:tcPr>
                        <w:tcW w:w="0" w:type="auto"/>
                        <w:hideMark/>
                      </w:tcPr>
                      <w:p w:rsidR="00A80140" w:rsidRDefault="00A80140" w:rsidP="007D69AD">
                        <w:pPr>
                          <w:jc w:val="right"/>
                        </w:pPr>
                        <w:r>
                          <w:rPr>
                            <w:noProof/>
                          </w:rPr>
                          <w:drawing>
                            <wp:inline distT="0" distB="0" distL="0" distR="0">
                              <wp:extent cx="1000125" cy="419100"/>
                              <wp:effectExtent l="0" t="0" r="9525" b="0"/>
                              <wp:docPr id="43" name="Afbeelding 43" descr="http://cdn.voka.addemar.com/files/a_vokaantwerpen/data/Image/logo/alfa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cdn.voka.addemar.com/files/a_vokaantwerpen/data/Image/logo/alfapor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p>
                    </w:tc>
                  </w:tr>
                </w:tbl>
                <w:p w:rsidR="00A80140" w:rsidRDefault="00A80140" w:rsidP="000B7D95"/>
              </w:tc>
            </w:tr>
            <w:tr w:rsidR="00A80140">
              <w:trPr>
                <w:trHeight w:val="225"/>
                <w:tblCellSpacing w:w="0" w:type="dxa"/>
              </w:trPr>
              <w:tc>
                <w:tcPr>
                  <w:tcW w:w="0" w:type="auto"/>
                  <w:shd w:val="clear" w:color="auto" w:fill="FFFFFF"/>
                  <w:vAlign w:val="center"/>
                  <w:hideMark/>
                </w:tcPr>
                <w:p w:rsidR="00A80140" w:rsidRDefault="00A80140" w:rsidP="000B7D95">
                  <w:r>
                    <w:rPr>
                      <w:noProof/>
                    </w:rPr>
                    <w:drawing>
                      <wp:inline distT="0" distB="0" distL="0" distR="0">
                        <wp:extent cx="9525" cy="142875"/>
                        <wp:effectExtent l="0" t="0" r="0" b="0"/>
                        <wp:docPr id="42" name="Afbeelding 42"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r>
            <w:tr w:rsidR="00A80140" w:rsidTr="00494110">
              <w:trPr>
                <w:trHeight w:val="2136"/>
                <w:tblCellSpacing w:w="0" w:type="dxa"/>
              </w:trPr>
              <w:tc>
                <w:tcPr>
                  <w:tcW w:w="0" w:type="auto"/>
                  <w:shd w:val="clear" w:color="auto" w:fill="FFFFFF"/>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A80140">
                    <w:trPr>
                      <w:trHeight w:val="300"/>
                      <w:tblCellSpacing w:w="0" w:type="dxa"/>
                    </w:trPr>
                    <w:tc>
                      <w:tcPr>
                        <w:tcW w:w="0" w:type="auto"/>
                        <w:vAlign w:val="center"/>
                        <w:hideMark/>
                      </w:tcPr>
                      <w:p w:rsidR="00A80140" w:rsidRDefault="00A80140" w:rsidP="000B7D95"/>
                    </w:tc>
                  </w:tr>
                  <w:tr w:rsidR="00A80140">
                    <w:trPr>
                      <w:tblCellSpacing w:w="0" w:type="dxa"/>
                    </w:trPr>
                    <w:tc>
                      <w:tcPr>
                        <w:tcW w:w="0" w:type="auto"/>
                        <w:vAlign w:val="center"/>
                        <w:hideMark/>
                      </w:tcPr>
                      <w:tbl>
                        <w:tblPr>
                          <w:tblW w:w="7950" w:type="dxa"/>
                          <w:tblCellSpacing w:w="0" w:type="dxa"/>
                          <w:tblCellMar>
                            <w:left w:w="0" w:type="dxa"/>
                            <w:right w:w="0" w:type="dxa"/>
                          </w:tblCellMar>
                          <w:tblLook w:val="04A0" w:firstRow="1" w:lastRow="0" w:firstColumn="1" w:lastColumn="0" w:noHBand="0" w:noVBand="1"/>
                        </w:tblPr>
                        <w:tblGrid>
                          <w:gridCol w:w="231"/>
                          <w:gridCol w:w="7719"/>
                        </w:tblGrid>
                        <w:tr w:rsidR="00A80140">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231"/>
                              </w:tblGrid>
                              <w:tr w:rsidR="00A80140">
                                <w:trPr>
                                  <w:tblCellSpacing w:w="0" w:type="dxa"/>
                                </w:trPr>
                                <w:tc>
                                  <w:tcPr>
                                    <w:tcW w:w="0" w:type="auto"/>
                                    <w:tcMar>
                                      <w:top w:w="0" w:type="dxa"/>
                                      <w:left w:w="0" w:type="dxa"/>
                                      <w:bottom w:w="0" w:type="dxa"/>
                                      <w:right w:w="225" w:type="dxa"/>
                                    </w:tcMar>
                                    <w:vAlign w:val="center"/>
                                    <w:hideMark/>
                                  </w:tcPr>
                                  <w:p w:rsidR="00A80140" w:rsidRDefault="00A80140" w:rsidP="000B7D95"/>
                                </w:tc>
                              </w:tr>
                            </w:tbl>
                            <w:p w:rsidR="00A80140" w:rsidRDefault="00A80140" w:rsidP="000B7D95"/>
                          </w:tc>
                          <w:tc>
                            <w:tcPr>
                              <w:tcW w:w="7950" w:type="dxa"/>
                              <w:shd w:val="clear" w:color="auto" w:fill="FFFFFF"/>
                              <w:hideMark/>
                            </w:tcPr>
                            <w:p w:rsidR="00A80140" w:rsidRDefault="00A80140" w:rsidP="000B7D95">
                              <w:pPr>
                                <w:pStyle w:val="Kop1"/>
                              </w:pPr>
                              <w:r w:rsidRPr="00A80140">
                                <w:rPr>
                                  <w:rStyle w:val="Zwaar"/>
                                  <w:b/>
                                </w:rPr>
                                <w:t xml:space="preserve">PUblicaties </w:t>
                              </w:r>
                              <w:r w:rsidR="000B7D95" w:rsidRPr="000B7D95">
                                <w:rPr>
                                  <w:rStyle w:val="Zwaar"/>
                                  <w:b/>
                                </w:rPr>
                                <w:t>inzake douane, BTW en accijnzen in België</w:t>
                              </w:r>
                            </w:p>
                          </w:tc>
                        </w:tr>
                      </w:tbl>
                      <w:p w:rsidR="00A80140" w:rsidRDefault="00A80140" w:rsidP="000B7D95"/>
                    </w:tc>
                  </w:tr>
                  <w:tr w:rsidR="00A80140">
                    <w:trPr>
                      <w:trHeight w:val="300"/>
                      <w:tblCellSpacing w:w="0" w:type="dxa"/>
                    </w:trPr>
                    <w:tc>
                      <w:tcPr>
                        <w:tcW w:w="0" w:type="auto"/>
                        <w:tcBorders>
                          <w:top w:val="nil"/>
                          <w:left w:val="nil"/>
                          <w:bottom w:val="single" w:sz="6" w:space="0" w:color="CCCCCC"/>
                          <w:right w:val="nil"/>
                        </w:tcBorders>
                        <w:vAlign w:val="center"/>
                        <w:hideMark/>
                      </w:tcPr>
                      <w:p w:rsidR="00A80140" w:rsidRDefault="00A80140" w:rsidP="000B7D95">
                        <w:r>
                          <w:rPr>
                            <w:noProof/>
                          </w:rPr>
                          <w:drawing>
                            <wp:inline distT="0" distB="0" distL="0" distR="0">
                              <wp:extent cx="9525" cy="190500"/>
                              <wp:effectExtent l="0" t="0" r="0" b="0"/>
                              <wp:docPr id="39" name="Afbeelding 39"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A80140">
                    <w:trPr>
                      <w:trHeight w:val="300"/>
                      <w:tblCellSpacing w:w="0" w:type="dxa"/>
                    </w:trPr>
                    <w:tc>
                      <w:tcPr>
                        <w:tcW w:w="0" w:type="auto"/>
                        <w:vAlign w:val="center"/>
                        <w:hideMark/>
                      </w:tcPr>
                      <w:p w:rsidR="00A80140" w:rsidRDefault="00A80140" w:rsidP="000B7D95">
                        <w:r>
                          <w:rPr>
                            <w:noProof/>
                          </w:rPr>
                          <w:drawing>
                            <wp:inline distT="0" distB="0" distL="0" distR="0">
                              <wp:extent cx="9525" cy="190500"/>
                              <wp:effectExtent l="0" t="0" r="0" b="0"/>
                              <wp:docPr id="38" name="Afbeelding 38"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A80140">
                    <w:trPr>
                      <w:trHeight w:val="300"/>
                      <w:tblCellSpacing w:w="0" w:type="dxa"/>
                    </w:trPr>
                    <w:tc>
                      <w:tcPr>
                        <w:tcW w:w="0" w:type="auto"/>
                        <w:vAlign w:val="center"/>
                        <w:hideMark/>
                      </w:tcPr>
                      <w:p w:rsidR="000B7D95" w:rsidRPr="000B7D95" w:rsidRDefault="000B7D95" w:rsidP="000B7D95">
                        <w:pPr>
                          <w:pStyle w:val="Kop2"/>
                        </w:pPr>
                        <w:r w:rsidRPr="000B7D95">
                          <w:t>Nieuwe website douane en acci</w:t>
                        </w:r>
                        <w:bookmarkStart w:id="0" w:name="_GoBack"/>
                        <w:bookmarkEnd w:id="0"/>
                        <w:r w:rsidRPr="000B7D95">
                          <w:t xml:space="preserve">jnzen </w:t>
                        </w:r>
                      </w:p>
                      <w:p w:rsidR="000B7D95" w:rsidRPr="000B7D95" w:rsidRDefault="000B7D95" w:rsidP="000B7D95">
                        <w:r w:rsidRPr="000B7D95">
                          <w:t xml:space="preserve">Op 16/03 werd via de website van het Nationaal Forum aangekondigd dat de website van de Algemene Administratie der douane en accijnzen werd vernieuwd. Het is nu ook mogelijk om via een RSS-feed een bericht te ontvangen waarmee noodprocedures worden gemeld.   </w:t>
                        </w:r>
                      </w:p>
                      <w:p w:rsidR="000B7D95" w:rsidRPr="00B22F09" w:rsidRDefault="000B7D95" w:rsidP="000B7D95">
                        <w:pPr>
                          <w:rPr>
                            <w:rFonts w:eastAsia="Calibri"/>
                          </w:rPr>
                        </w:pPr>
                        <w:hyperlink r:id="rId7" w:history="1">
                          <w:r w:rsidRPr="001149E2">
                            <w:rPr>
                              <w:rStyle w:val="Hyperlink"/>
                              <w:rFonts w:ascii="Verdana" w:eastAsia="Calibri" w:hAnsi="Verdana" w:cs="Calibri"/>
                              <w:sz w:val="16"/>
                              <w:szCs w:val="16"/>
                            </w:rPr>
                            <w:t>http://www.naforna.be/nl/nieuws/16032017-nieuwe-website-douane-en-accijnzen</w:t>
                          </w:r>
                        </w:hyperlink>
                      </w:p>
                      <w:p w:rsidR="000B7D95" w:rsidRDefault="000B7D95" w:rsidP="000B7D95"/>
                      <w:p w:rsidR="000B7D95" w:rsidRPr="00C84791" w:rsidRDefault="000B7D95" w:rsidP="000B7D95">
                        <w:pPr>
                          <w:pStyle w:val="Kop2"/>
                        </w:pPr>
                        <w:r>
                          <w:t xml:space="preserve">Geconsolideerde versie wet </w:t>
                        </w:r>
                        <w:r w:rsidRPr="00730511">
                          <w:t>van 07.01.1998 betreffende de structuur en de accijnstarieven op alcohol en alcoholhoudende dranken</w:t>
                        </w:r>
                      </w:p>
                      <w:p w:rsidR="000B7D95" w:rsidRPr="000B7D95" w:rsidRDefault="000B7D95" w:rsidP="000B7D95">
                        <w:r w:rsidRPr="000B7D95">
                          <w:t xml:space="preserve">Op de website van </w:t>
                        </w:r>
                        <w:proofErr w:type="spellStart"/>
                        <w:r w:rsidRPr="000B7D95">
                          <w:t>FisconetPlus</w:t>
                        </w:r>
                        <w:proofErr w:type="spellEnd"/>
                        <w:r w:rsidRPr="000B7D95">
                          <w:t xml:space="preserve"> werd op 07/03 de geconsolideerde versie (dd. 27.06.2016) gepubliceerd van de wet van 07.01.1998 betreffende de structuur en de accijnstarieven op alcohol en alcoholhoudende dranken.</w:t>
                        </w:r>
                      </w:p>
                      <w:p w:rsidR="000B7D95" w:rsidRDefault="000B7D95" w:rsidP="000B7D95">
                        <w:hyperlink r:id="rId8" w:history="1">
                          <w:r w:rsidRPr="00F06A6C">
                            <w:rPr>
                              <w:rStyle w:val="Hyperlink"/>
                              <w:rFonts w:ascii="Verdana" w:hAnsi="Verdana"/>
                              <w:sz w:val="16"/>
                              <w:szCs w:val="16"/>
                            </w:rPr>
                            <w:t>http://ccff02.minfin.fgov.be/KMWeb/document.do?method=view&amp;id=8075e204-10b7-4c0d-abdf-f4a1c62f702d&amp;caller=1#findHighlighted</w:t>
                          </w:r>
                        </w:hyperlink>
                      </w:p>
                      <w:p w:rsidR="000B7D95" w:rsidRDefault="000B7D95" w:rsidP="000B7D95">
                        <w:pPr>
                          <w:pStyle w:val="Kop2"/>
                        </w:pPr>
                      </w:p>
                      <w:p w:rsidR="000B7D95" w:rsidRDefault="000B7D95" w:rsidP="000B7D95">
                        <w:pPr>
                          <w:pStyle w:val="Kop2"/>
                        </w:pPr>
                        <w:r>
                          <w:t>Geconsolideerde versie m</w:t>
                        </w:r>
                        <w:r w:rsidRPr="007954D5">
                          <w:t>inisterieel besluit van 30.10.2009 betreffende het accijnsstelsel van ethylalcohol en de uitvoeringsmodaliteiten betreffende de vrijstellingen inzake ethylalcohol en alcoholhoudende dranken</w:t>
                        </w:r>
                      </w:p>
                      <w:p w:rsidR="000B7D95" w:rsidRPr="00290279" w:rsidRDefault="000B7D95" w:rsidP="000B7D95">
                        <w:pPr>
                          <w:rPr>
                            <w:sz w:val="16"/>
                            <w:szCs w:val="16"/>
                          </w:rPr>
                        </w:pPr>
                        <w:r>
                          <w:t xml:space="preserve">Op de website van </w:t>
                        </w:r>
                        <w:proofErr w:type="spellStart"/>
                        <w:r>
                          <w:t>FisconetPlus</w:t>
                        </w:r>
                        <w:proofErr w:type="spellEnd"/>
                        <w:r>
                          <w:t xml:space="preserve"> werd op 07/03 de geconsolideerde versie (dd. 24.04.2014) gepubliceerd van het m</w:t>
                        </w:r>
                        <w:r w:rsidRPr="007954D5">
                          <w:t>inisterieel besluit van 30.10.2009 betreffende het accijnsstelsel van ethylalcohol en de uitvoeringsmodaliteiten betreffende de vrijstellingen inzake ethylalcohol en alcoholhoudende dranken</w:t>
                        </w:r>
                        <w:r>
                          <w:t xml:space="preserve"> </w:t>
                        </w:r>
                        <w:r w:rsidRPr="00D12520">
                          <w:t xml:space="preserve"> </w:t>
                        </w:r>
                        <w:r>
                          <w:t xml:space="preserve"> </w:t>
                        </w:r>
                      </w:p>
                      <w:p w:rsidR="000B7D95" w:rsidRDefault="000B7D95" w:rsidP="000B7D95">
                        <w:pPr>
                          <w:ind w:left="147"/>
                        </w:pPr>
                        <w:hyperlink r:id="rId9" w:history="1">
                          <w:r w:rsidRPr="001149E2">
                            <w:rPr>
                              <w:rStyle w:val="Hyperlink"/>
                              <w:rFonts w:ascii="Verdana" w:hAnsi="Verdana"/>
                              <w:sz w:val="16"/>
                              <w:szCs w:val="16"/>
                            </w:rPr>
                            <w:t>http://ccff02.minfin.fgov.be/KMWeb/document.do?method=view&amp;id=acdd853a-ca34-4931-b7a7-6ed1abd50b15&amp;caller=1#findHighlighted</w:t>
                          </w:r>
                        </w:hyperlink>
                      </w:p>
                      <w:p w:rsidR="000B7D95" w:rsidRDefault="000B7D95" w:rsidP="000B7D95">
                        <w:pPr>
                          <w:pStyle w:val="Kop2"/>
                        </w:pPr>
                      </w:p>
                      <w:p w:rsidR="000B7D95" w:rsidRPr="00C84791" w:rsidRDefault="000B7D95" w:rsidP="000B7D95">
                        <w:pPr>
                          <w:pStyle w:val="Kop2"/>
                        </w:pPr>
                        <w:r>
                          <w:t xml:space="preserve">Deeleconomie belastingen en BTW – FAQ’s </w:t>
                        </w:r>
                      </w:p>
                      <w:p w:rsidR="000B7D95" w:rsidRDefault="000B7D95" w:rsidP="000B7D95">
                        <w:pPr>
                          <w:rPr>
                            <w:color w:val="FF0000"/>
                            <w:sz w:val="16"/>
                            <w:szCs w:val="16"/>
                          </w:rPr>
                        </w:pPr>
                        <w:r>
                          <w:t xml:space="preserve">Op de website van </w:t>
                        </w:r>
                        <w:proofErr w:type="spellStart"/>
                        <w:r>
                          <w:t>FisconetPlus</w:t>
                        </w:r>
                        <w:proofErr w:type="spellEnd"/>
                        <w:r>
                          <w:t xml:space="preserve"> werd op 07/03 een overzicht van FAQ’s gepubliceerd m.b.t. een aantal fiscale aspecten m.b.t. het verlenen van diensten in het kader van deeleconomie. </w:t>
                        </w:r>
                      </w:p>
                      <w:p w:rsidR="000B7D95" w:rsidRDefault="000B7D95" w:rsidP="000B7D95">
                        <w:pPr>
                          <w:pStyle w:val="Lijstalinea"/>
                          <w:ind w:left="147"/>
                        </w:pPr>
                        <w:hyperlink r:id="rId10" w:history="1">
                          <w:r w:rsidRPr="00F06A6C">
                            <w:rPr>
                              <w:rStyle w:val="Hyperlink"/>
                              <w:rFonts w:ascii="Verdana" w:hAnsi="Verdana"/>
                              <w:sz w:val="16"/>
                              <w:szCs w:val="16"/>
                            </w:rPr>
                            <w:t>http://ccff02.minfin.fgov.be/KMWeb/document.do?method=view&amp;id=3353b5cf-99ec-471e-8b66-712951eb2ff7&amp;caller=1#findHighlighted</w:t>
                          </w:r>
                        </w:hyperlink>
                      </w:p>
                      <w:p w:rsidR="000B7D95" w:rsidRDefault="000B7D95" w:rsidP="000B7D95">
                        <w:pPr>
                          <w:pStyle w:val="Kop2"/>
                        </w:pPr>
                      </w:p>
                      <w:p w:rsidR="000B7D95" w:rsidRPr="00C84791" w:rsidRDefault="000B7D95" w:rsidP="000B7D95">
                        <w:pPr>
                          <w:pStyle w:val="Kop2"/>
                        </w:pPr>
                        <w:r>
                          <w:t>Geconsolideerde versie MB inzake douane-entrepots</w:t>
                        </w:r>
                      </w:p>
                      <w:p w:rsidR="000B7D95" w:rsidRDefault="000B7D95" w:rsidP="000B7D95">
                        <w:r>
                          <w:t xml:space="preserve">Op de website van </w:t>
                        </w:r>
                        <w:proofErr w:type="spellStart"/>
                        <w:r>
                          <w:t>FisconetPlus</w:t>
                        </w:r>
                        <w:proofErr w:type="spellEnd"/>
                        <w:r>
                          <w:t xml:space="preserve"> werd op 10/03 de geconsolideerde versie (dd. 28.01.2013) van het ministerieel besluit van </w:t>
                        </w:r>
                        <w:r w:rsidRPr="0085361D">
                          <w:t>24.12.1993 betreffende de douane-entrepots</w:t>
                        </w:r>
                        <w:r>
                          <w:t xml:space="preserve"> gepubliceerd.  </w:t>
                        </w:r>
                      </w:p>
                      <w:p w:rsidR="000B7D95" w:rsidRDefault="000B7D95" w:rsidP="000B7D95">
                        <w:pPr>
                          <w:pStyle w:val="Lijstalinea"/>
                          <w:ind w:left="147"/>
                        </w:pPr>
                        <w:hyperlink r:id="rId11" w:history="1">
                          <w:r w:rsidRPr="00D20216">
                            <w:rPr>
                              <w:rStyle w:val="Hyperlink"/>
                              <w:rFonts w:ascii="Verdana" w:hAnsi="Verdana"/>
                              <w:sz w:val="16"/>
                              <w:szCs w:val="16"/>
                            </w:rPr>
                            <w:t>http://ccff02.minfin.fgov.be/KMWeb/document.do?method=view&amp;id=29ea6c11-ca92-4167-a9e4-5c4d8d44270f&amp;caller=1#findHighlighted</w:t>
                          </w:r>
                        </w:hyperlink>
                      </w:p>
                      <w:p w:rsidR="000B7D95" w:rsidRDefault="000B7D95" w:rsidP="000B7D95">
                        <w:pPr>
                          <w:pStyle w:val="Kop2"/>
                        </w:pPr>
                      </w:p>
                      <w:p w:rsidR="000B7D95" w:rsidRPr="00C84791" w:rsidRDefault="000B7D95" w:rsidP="000B7D95">
                        <w:pPr>
                          <w:pStyle w:val="Kop2"/>
                        </w:pPr>
                        <w:r>
                          <w:t xml:space="preserve">Geconsolideerde versie KB nr. 1 – btw </w:t>
                        </w:r>
                      </w:p>
                      <w:p w:rsidR="000B7D95" w:rsidRDefault="000B7D95" w:rsidP="000B7D95">
                        <w:pPr>
                          <w:rPr>
                            <w:color w:val="FF0000"/>
                            <w:sz w:val="16"/>
                            <w:szCs w:val="16"/>
                          </w:rPr>
                        </w:pPr>
                        <w:r>
                          <w:t xml:space="preserve">Op de website van </w:t>
                        </w:r>
                        <w:proofErr w:type="spellStart"/>
                        <w:r>
                          <w:t>FisconetPlus</w:t>
                        </w:r>
                        <w:proofErr w:type="spellEnd"/>
                        <w:r>
                          <w:t xml:space="preserve"> werd op 13/03 de geconsolideerde versie (bijwerking 13 dd. 23.02.2017) van het KB nr. 1 gepubliceerd </w:t>
                        </w:r>
                        <w:r w:rsidRPr="00697B0B">
                          <w:t>met betrekking tot de regeling voor de voldoening van de belasting over de toegevoegde waarde</w:t>
                        </w:r>
                        <w:r>
                          <w:t xml:space="preserve">. </w:t>
                        </w:r>
                      </w:p>
                      <w:p w:rsidR="000B7D95" w:rsidRPr="000B7D95" w:rsidRDefault="000B7D95" w:rsidP="000B7D95">
                        <w:pPr>
                          <w:pStyle w:val="Lijstalinea"/>
                          <w:ind w:left="147"/>
                          <w:rPr>
                            <w:rStyle w:val="Hyperlink"/>
                            <w:rFonts w:ascii="Verdana" w:hAnsi="Verdana"/>
                            <w:sz w:val="16"/>
                            <w:szCs w:val="16"/>
                          </w:rPr>
                        </w:pPr>
                        <w:hyperlink r:id="rId12" w:history="1">
                          <w:r w:rsidRPr="007E1064">
                            <w:rPr>
                              <w:rStyle w:val="Hyperlink"/>
                              <w:rFonts w:ascii="Verdana" w:hAnsi="Verdana"/>
                              <w:sz w:val="16"/>
                              <w:szCs w:val="16"/>
                            </w:rPr>
                            <w:t>http://ccff02.minfin.fgov.be/KMWeb/document.do?method=view&amp;id=9e5d5a79-321e-47d4-936e-0c2ccac0cc02&amp;caller=1#findHighlighted</w:t>
                          </w:r>
                        </w:hyperlink>
                      </w:p>
                      <w:p w:rsidR="000B7D95" w:rsidRDefault="000B7D95" w:rsidP="000B7D95">
                        <w:pPr>
                          <w:pStyle w:val="Kop2"/>
                        </w:pPr>
                      </w:p>
                      <w:p w:rsidR="000B7D95" w:rsidRPr="00C84791" w:rsidRDefault="000B7D95" w:rsidP="000B7D95">
                        <w:pPr>
                          <w:pStyle w:val="Kop2"/>
                        </w:pPr>
                        <w:r>
                          <w:t>Collectie Koninklijke besluiten inzake btw bijgewerkt tem 24/03/2017</w:t>
                        </w:r>
                      </w:p>
                      <w:p w:rsidR="000B7D95" w:rsidRDefault="000B7D95" w:rsidP="007D69AD">
                        <w:r>
                          <w:t xml:space="preserve">Op de website van </w:t>
                        </w:r>
                        <w:proofErr w:type="spellStart"/>
                        <w:r>
                          <w:t>FisconetPlus</w:t>
                        </w:r>
                        <w:proofErr w:type="spellEnd"/>
                        <w:r>
                          <w:t xml:space="preserve"> werd op 11/04 de tot 24.03.2017 bijgewerkte collectie koninklijke besluiten inzake btw gepubliceerd.  </w:t>
                        </w:r>
                      </w:p>
                      <w:p w:rsidR="000B7D95" w:rsidRPr="000B7D95" w:rsidRDefault="000B7D95" w:rsidP="000B7D95">
                        <w:pPr>
                          <w:pStyle w:val="Lijstalinea"/>
                          <w:ind w:left="147"/>
                          <w:rPr>
                            <w:rStyle w:val="Hyperlink"/>
                            <w:rFonts w:ascii="Verdana" w:hAnsi="Verdana"/>
                            <w:sz w:val="16"/>
                            <w:szCs w:val="16"/>
                          </w:rPr>
                        </w:pPr>
                        <w:hyperlink r:id="rId13" w:history="1">
                          <w:r w:rsidRPr="006C290C">
                            <w:rPr>
                              <w:rStyle w:val="Hyperlink"/>
                              <w:rFonts w:ascii="Verdana" w:hAnsi="Verdana"/>
                              <w:sz w:val="16"/>
                              <w:szCs w:val="16"/>
                            </w:rPr>
                            <w:t>http://ccff02.minfin.fgov.be/KMWeb/document.do?method=view&amp;id=eac7500f-1beb-409b-bd52-d5f20860237d&amp;caller=1#findHighlighted</w:t>
                          </w:r>
                        </w:hyperlink>
                      </w:p>
                      <w:p w:rsidR="000B7D95" w:rsidRDefault="000B7D95" w:rsidP="000B7D95">
                        <w:pPr>
                          <w:pStyle w:val="Kop2"/>
                        </w:pPr>
                      </w:p>
                      <w:p w:rsidR="000B7D95" w:rsidRPr="00C84791" w:rsidRDefault="000B7D95" w:rsidP="000B7D95">
                        <w:pPr>
                          <w:pStyle w:val="Kop2"/>
                        </w:pPr>
                        <w:r>
                          <w:t>Vereenvoudigde procedure afgifte vignet 705</w:t>
                        </w:r>
                      </w:p>
                      <w:p w:rsidR="000B7D95" w:rsidRDefault="000B7D95" w:rsidP="007D69AD">
                        <w:r>
                          <w:t xml:space="preserve">Op de website van de AADA werd in maart aangekondigd dat het sedert 01/02 mogelijk om een vereenvoudigde aanvraagprocedure toe te passen voor het bekomen van een vignet 705. </w:t>
                        </w:r>
                      </w:p>
                      <w:p w:rsidR="000B7D95" w:rsidRPr="000B7D95" w:rsidRDefault="000B7D95" w:rsidP="000B7D95">
                        <w:pPr>
                          <w:pStyle w:val="Lijstalinea"/>
                          <w:ind w:left="147"/>
                          <w:rPr>
                            <w:rStyle w:val="Hyperlink"/>
                            <w:rFonts w:ascii="Verdana" w:hAnsi="Verdana"/>
                            <w:sz w:val="16"/>
                            <w:szCs w:val="16"/>
                          </w:rPr>
                        </w:pPr>
                        <w:hyperlink r:id="rId14" w:history="1">
                          <w:r w:rsidRPr="002012FE">
                            <w:rPr>
                              <w:rStyle w:val="Hyperlink"/>
                              <w:rFonts w:ascii="Verdana" w:hAnsi="Verdana"/>
                              <w:sz w:val="16"/>
                              <w:szCs w:val="16"/>
                            </w:rPr>
                            <w:t>http://financien.belgium.be/nl/Actueel/update-aflevering-van-het-vignet-705-vereenvoudigde-procedure?section=dea</w:t>
                          </w:r>
                        </w:hyperlink>
                      </w:p>
                      <w:p w:rsidR="000B7D95" w:rsidRDefault="000B7D95" w:rsidP="000B7D95">
                        <w:pPr>
                          <w:pStyle w:val="Kop2"/>
                        </w:pPr>
                      </w:p>
                      <w:p w:rsidR="000B7D95" w:rsidRPr="00C84791" w:rsidRDefault="000B7D95" w:rsidP="000B7D95">
                        <w:pPr>
                          <w:pStyle w:val="Kop2"/>
                        </w:pPr>
                        <w:r>
                          <w:t>Migratie NCTS-PLDA : toepassing kantoor Geel en Bilzen</w:t>
                        </w:r>
                      </w:p>
                      <w:p w:rsidR="000B7D95" w:rsidRDefault="000B7D95" w:rsidP="007D69AD">
                        <w:pPr>
                          <w:rPr>
                            <w:color w:val="FF0000"/>
                            <w:sz w:val="16"/>
                            <w:szCs w:val="16"/>
                          </w:rPr>
                        </w:pPr>
                        <w:r>
                          <w:t>Op de website van de AADA werd op 31/03 aangekondigd dat de kantoren Geel en Bilzen binnenkort de nieuwe versie van NCTS (</w:t>
                        </w:r>
                        <w:proofErr w:type="spellStart"/>
                        <w:r>
                          <w:t>rewrite</w:t>
                        </w:r>
                        <w:proofErr w:type="spellEnd"/>
                        <w:r>
                          <w:t xml:space="preserve">) zullen gebruiken. Meer info kan men terugvinden op de website van de AADA. </w:t>
                        </w:r>
                      </w:p>
                      <w:p w:rsidR="000B7D95" w:rsidRPr="000B7D95" w:rsidRDefault="000B7D95" w:rsidP="000B7D95">
                        <w:pPr>
                          <w:pStyle w:val="Lijstalinea"/>
                          <w:ind w:left="147"/>
                          <w:rPr>
                            <w:rStyle w:val="Hyperlink"/>
                            <w:rFonts w:ascii="Verdana" w:hAnsi="Verdana"/>
                            <w:sz w:val="16"/>
                            <w:szCs w:val="16"/>
                          </w:rPr>
                        </w:pPr>
                        <w:hyperlink r:id="rId15" w:history="1">
                          <w:r w:rsidRPr="002012FE">
                            <w:rPr>
                              <w:rStyle w:val="Hyperlink"/>
                              <w:rFonts w:ascii="Verdana" w:hAnsi="Verdana"/>
                              <w:sz w:val="16"/>
                              <w:szCs w:val="16"/>
                            </w:rPr>
                            <w:t>http://financien.belgium.be/nl/Actueel/bent-u-verbonden-aan-het-kantoor-bilzen-geel-bereid-u-alvast-voor-op-de-lancering-van-de-0?section=dea</w:t>
                          </w:r>
                        </w:hyperlink>
                      </w:p>
                      <w:p w:rsidR="000B7D95" w:rsidRDefault="000B7D95" w:rsidP="000B7D95">
                        <w:pPr>
                          <w:pStyle w:val="Kop2"/>
                        </w:pPr>
                      </w:p>
                      <w:p w:rsidR="000B7D95" w:rsidRPr="00C84791" w:rsidRDefault="000B7D95" w:rsidP="000B7D95">
                        <w:pPr>
                          <w:pStyle w:val="Kop2"/>
                        </w:pPr>
                        <w:r>
                          <w:t xml:space="preserve">Circulaire </w:t>
                        </w:r>
                        <w:r w:rsidRPr="000D352F">
                          <w:t>2017/C/15 betreffende invoercertificaten AGRIM en uitvoercertificaten AGREX</w:t>
                        </w:r>
                      </w:p>
                      <w:p w:rsidR="000B7D95" w:rsidRDefault="000B7D95" w:rsidP="007D69AD">
                        <w:r>
                          <w:t xml:space="preserve">Op de website van </w:t>
                        </w:r>
                        <w:proofErr w:type="spellStart"/>
                        <w:r>
                          <w:t>FisconetPlus</w:t>
                        </w:r>
                        <w:proofErr w:type="spellEnd"/>
                        <w:r>
                          <w:t xml:space="preserve"> werd op 29/03 de </w:t>
                        </w:r>
                        <w:proofErr w:type="spellStart"/>
                        <w:r>
                          <w:t>circulaite</w:t>
                        </w:r>
                        <w:proofErr w:type="spellEnd"/>
                        <w:r>
                          <w:t xml:space="preserve"> betreffende het gebruik van de in- en uitvoervoercertificaten AGRIM en AGREX.  </w:t>
                        </w:r>
                      </w:p>
                      <w:p w:rsidR="000B7D95" w:rsidRPr="000B7D95" w:rsidRDefault="000B7D95" w:rsidP="000B7D95">
                        <w:pPr>
                          <w:pStyle w:val="Lijstalinea"/>
                          <w:ind w:left="147"/>
                          <w:rPr>
                            <w:rStyle w:val="Hyperlink"/>
                            <w:rFonts w:ascii="Verdana" w:hAnsi="Verdana"/>
                            <w:sz w:val="16"/>
                            <w:szCs w:val="16"/>
                          </w:rPr>
                        </w:pPr>
                        <w:hyperlink r:id="rId16" w:history="1">
                          <w:r w:rsidRPr="002012FE">
                            <w:rPr>
                              <w:rStyle w:val="Hyperlink"/>
                              <w:rFonts w:ascii="Verdana" w:hAnsi="Verdana"/>
                              <w:sz w:val="16"/>
                              <w:szCs w:val="16"/>
                            </w:rPr>
                            <w:t>http://ccff02.minfin.fgov.be/KMWeb/document.do?method=view&amp;id=7683e2b8-e8ea-4d9f-a363-317442ed4859&amp;caller=1#findHighlighted</w:t>
                          </w:r>
                        </w:hyperlink>
                      </w:p>
                      <w:p w:rsidR="000B7D95" w:rsidRDefault="000B7D95" w:rsidP="000B7D95">
                        <w:pPr>
                          <w:pStyle w:val="Kop2"/>
                        </w:pPr>
                      </w:p>
                      <w:p w:rsidR="000B7D95" w:rsidRPr="00C84791" w:rsidRDefault="000B7D95" w:rsidP="000B7D95">
                        <w:pPr>
                          <w:pStyle w:val="Kop2"/>
                        </w:pPr>
                        <w:r>
                          <w:t>België en Luxemburg tekenen akkoord over gebruik vrachtwagenscanner</w:t>
                        </w:r>
                      </w:p>
                      <w:p w:rsidR="000B7D95" w:rsidRDefault="000B7D95" w:rsidP="007D69AD">
                        <w:r>
                          <w:t>Met een persmededeling laat de Belgische douane weten dat de</w:t>
                        </w:r>
                        <w:r w:rsidRPr="00E273A4">
                          <w:t xml:space="preserve"> Belgische en de Luxemburgse </w:t>
                        </w:r>
                        <w:r>
                          <w:t>ministers van Financiën</w:t>
                        </w:r>
                        <w:r w:rsidRPr="00E273A4">
                          <w:t xml:space="preserve"> </w:t>
                        </w:r>
                        <w:r>
                          <w:t>op 29/03</w:t>
                        </w:r>
                        <w:r w:rsidRPr="00E273A4">
                          <w:t xml:space="preserve"> een samenwerkingsovereenkomst </w:t>
                        </w:r>
                        <w:r>
                          <w:t xml:space="preserve">hebben ondertekend </w:t>
                        </w:r>
                        <w:r w:rsidRPr="00E273A4">
                          <w:t>die het gebruik van een Luxemburgse vrachtwagenscanner op Belgisch grondgebied regelt. Hierdoor kunnen de Belgische douanediensten bij wegcontroles in Wallonië voortaan ook beroep doen op de hoogtechnologische mobiele vrachtwagenscanner van de Luxemburgse douane.</w:t>
                        </w:r>
                      </w:p>
                      <w:p w:rsidR="000B7D95" w:rsidRPr="000B7D95" w:rsidRDefault="000B7D95" w:rsidP="000B7D95">
                        <w:pPr>
                          <w:pStyle w:val="Lijstalinea"/>
                          <w:ind w:left="147"/>
                          <w:rPr>
                            <w:rStyle w:val="Hyperlink"/>
                            <w:rFonts w:ascii="Verdana" w:hAnsi="Verdana"/>
                            <w:sz w:val="16"/>
                            <w:szCs w:val="16"/>
                          </w:rPr>
                        </w:pPr>
                        <w:hyperlink r:id="rId17" w:history="1">
                          <w:r w:rsidRPr="006D6803">
                            <w:rPr>
                              <w:rStyle w:val="Hyperlink"/>
                              <w:rFonts w:ascii="Verdana" w:hAnsi="Verdana"/>
                              <w:sz w:val="16"/>
                              <w:szCs w:val="16"/>
                            </w:rPr>
                            <w:t>http://presscenter.org/nl/pressrelease/20170323/belgische-en-luxemburgse-douane-tekenen-akkoord-voor-gebruik-vrachtwagenscanne</w:t>
                          </w:r>
                        </w:hyperlink>
                      </w:p>
                      <w:p w:rsidR="000B7D95" w:rsidRDefault="000B7D95" w:rsidP="007D69AD">
                        <w:pPr>
                          <w:pStyle w:val="Kop2"/>
                        </w:pPr>
                      </w:p>
                      <w:p w:rsidR="000B7D95" w:rsidRPr="00C84791" w:rsidRDefault="000B7D95" w:rsidP="000B7D95">
                        <w:pPr>
                          <w:pStyle w:val="Kop2"/>
                        </w:pPr>
                        <w:r>
                          <w:t xml:space="preserve">Aangifte inzake douanewaarde D.V.1 elektronisch vanaf 18 april </w:t>
                        </w:r>
                      </w:p>
                      <w:p w:rsidR="000B7D95" w:rsidRDefault="000B7D95" w:rsidP="007D69AD">
                        <w:r>
                          <w:t xml:space="preserve">Op de website van </w:t>
                        </w:r>
                        <w:proofErr w:type="spellStart"/>
                        <w:r>
                          <w:t>FisconetPlus</w:t>
                        </w:r>
                        <w:proofErr w:type="spellEnd"/>
                        <w:r>
                          <w:t xml:space="preserve"> werd het tariefbericht nr. 607 (dd. 31.03.2017) gepubliceerd waarmee de AADA aankondigt dat vanaf 18/04 </w:t>
                        </w:r>
                        <w:r w:rsidRPr="00CC1121">
                          <w:t>aan het PLDA systeem een b</w:t>
                        </w:r>
                        <w:r>
                          <w:t>ijkomende functionaliteit zal worden</w:t>
                        </w:r>
                        <w:r w:rsidRPr="00CC1121">
                          <w:t xml:space="preserve"> toegevoegd waardoor het voor de economische operatoren/aangevers mogelijk is om samen met de aangifte voor het vrije verkeer gelijktijdig de aangifte van gegevens inzake de douanewaarde (D.V.1) elektronisch in te brengen. De opmaak van de a</w:t>
                        </w:r>
                        <w:r>
                          <w:t>angifte D.V.1 in elektronische</w:t>
                        </w:r>
                        <w:r w:rsidRPr="00CC1121">
                          <w:t xml:space="preserve"> vorm zal dus de papieren versie ervan vervangen</w:t>
                        </w:r>
                      </w:p>
                      <w:p w:rsidR="000B7D95" w:rsidRPr="000B7D95" w:rsidRDefault="000B7D95" w:rsidP="000B7D95">
                        <w:pPr>
                          <w:pStyle w:val="Lijstalinea"/>
                          <w:ind w:left="147"/>
                          <w:rPr>
                            <w:rStyle w:val="Hyperlink"/>
                            <w:rFonts w:ascii="Verdana" w:hAnsi="Verdana"/>
                            <w:sz w:val="16"/>
                            <w:szCs w:val="16"/>
                          </w:rPr>
                        </w:pPr>
                        <w:hyperlink r:id="rId18" w:history="1">
                          <w:r w:rsidRPr="00AB6D55">
                            <w:rPr>
                              <w:rStyle w:val="Hyperlink"/>
                              <w:rFonts w:ascii="Verdana" w:hAnsi="Verdana"/>
                              <w:sz w:val="16"/>
                              <w:szCs w:val="16"/>
                            </w:rPr>
                            <w:t>http://ccff02.minfin.fgov.be/KMWeb/document.do?method=view&amp;id=ffb0dbe1-ce8d-44a9-8655-53c76bc9b08e&amp;caller=1#findHighlighted</w:t>
                          </w:r>
                        </w:hyperlink>
                      </w:p>
                      <w:p w:rsidR="000B7D95" w:rsidRDefault="000B7D95" w:rsidP="007D69AD">
                        <w:pPr>
                          <w:pStyle w:val="Kop2"/>
                        </w:pPr>
                      </w:p>
                      <w:p w:rsidR="000B7D95" w:rsidRPr="00C84791" w:rsidRDefault="000B7D95" w:rsidP="000B7D95">
                        <w:pPr>
                          <w:pStyle w:val="Kop2"/>
                        </w:pPr>
                        <w:r>
                          <w:t>Accijnzen : mengen en kleuren van energieproducten</w:t>
                        </w:r>
                      </w:p>
                      <w:p w:rsidR="000B7D95" w:rsidRDefault="000B7D95" w:rsidP="007D69AD">
                        <w:r>
                          <w:t>Op de website van de AADA werden op 20/04 de volgende omzendbrieven gepubliceerd :</w:t>
                        </w:r>
                      </w:p>
                      <w:p w:rsidR="000B7D95" w:rsidRPr="007D69AD" w:rsidRDefault="000B7D95" w:rsidP="007D69AD">
                        <w:pPr>
                          <w:pStyle w:val="Lijstalinea"/>
                          <w:numPr>
                            <w:ilvl w:val="0"/>
                            <w:numId w:val="4"/>
                          </w:numPr>
                        </w:pPr>
                        <w:r w:rsidRPr="007D69AD">
                          <w:t>Mengen van energieproducten</w:t>
                        </w:r>
                      </w:p>
                      <w:p w:rsidR="000B7D95" w:rsidRPr="007D69AD" w:rsidRDefault="000B7D95" w:rsidP="007D69AD">
                        <w:pPr>
                          <w:pStyle w:val="Lijstalinea"/>
                          <w:numPr>
                            <w:ilvl w:val="0"/>
                            <w:numId w:val="4"/>
                          </w:numPr>
                        </w:pPr>
                        <w:r w:rsidRPr="007D69AD">
                          <w:t xml:space="preserve">Toevoegen van herkenningsmiddelen aan energieproducten en denatureren van benzine  </w:t>
                        </w:r>
                      </w:p>
                      <w:p w:rsidR="000B7D95" w:rsidRPr="000B7D95" w:rsidRDefault="000B7D95" w:rsidP="000B7D95">
                        <w:pPr>
                          <w:pStyle w:val="Lijstalinea"/>
                          <w:ind w:left="147"/>
                          <w:rPr>
                            <w:rStyle w:val="Hyperlink"/>
                            <w:rFonts w:ascii="Verdana" w:hAnsi="Verdana"/>
                            <w:sz w:val="16"/>
                            <w:szCs w:val="16"/>
                          </w:rPr>
                        </w:pPr>
                        <w:hyperlink r:id="rId19" w:history="1">
                          <w:r w:rsidRPr="00951377">
                            <w:rPr>
                              <w:rStyle w:val="Hyperlink"/>
                              <w:rFonts w:ascii="Verdana" w:hAnsi="Verdana"/>
                              <w:sz w:val="16"/>
                              <w:szCs w:val="16"/>
                            </w:rPr>
                            <w:t>http://financien.belgium.be/nl/douane_accijnzen/ondernemingen/accijnzen/accijnsgoederen/energieproducten-en-elektriciteit</w:t>
                          </w:r>
                        </w:hyperlink>
                      </w:p>
                      <w:p w:rsidR="000B7D95" w:rsidRDefault="000B7D95" w:rsidP="007D69AD">
                        <w:pPr>
                          <w:pStyle w:val="Kop2"/>
                        </w:pPr>
                      </w:p>
                      <w:p w:rsidR="000B7D95" w:rsidRPr="00C84791" w:rsidRDefault="000B7D95" w:rsidP="000B7D95">
                        <w:pPr>
                          <w:pStyle w:val="Kop2"/>
                        </w:pPr>
                        <w:r>
                          <w:t xml:space="preserve">Circulaire douane-entrepots </w:t>
                        </w:r>
                      </w:p>
                      <w:p w:rsidR="000B7D95" w:rsidRDefault="000B7D95" w:rsidP="007D69AD">
                        <w:r>
                          <w:t>Op de website van de AADA werd op 04/05 de circulaire met referte 2017/C/28 betreffende e</w:t>
                        </w:r>
                        <w:r w:rsidRPr="001A3B97">
                          <w:t xml:space="preserve">ntrepots </w:t>
                        </w:r>
                        <w:r>
                          <w:t>gepubliceerd. Deze publicatie houdt rekening met de w</w:t>
                        </w:r>
                        <w:r w:rsidRPr="001A3B97">
                          <w:t xml:space="preserve">ijzigingen ingevolge </w:t>
                        </w:r>
                        <w:r>
                          <w:t xml:space="preserve">de inwerkingtreding van het  Douanewetboek van de Unie. </w:t>
                        </w:r>
                      </w:p>
                      <w:p w:rsidR="000B7D95" w:rsidRPr="000B7D95" w:rsidRDefault="000B7D95" w:rsidP="007D69AD">
                        <w:pPr>
                          <w:pStyle w:val="Lijstalinea"/>
                          <w:ind w:left="147"/>
                          <w:rPr>
                            <w:rStyle w:val="Hyperlink"/>
                            <w:rFonts w:ascii="Verdana" w:hAnsi="Verdana"/>
                            <w:sz w:val="16"/>
                            <w:szCs w:val="16"/>
                          </w:rPr>
                        </w:pPr>
                        <w:r w:rsidRPr="007D69AD">
                          <w:rPr>
                            <w:rStyle w:val="Hyperlink"/>
                            <w:rFonts w:ascii="Verdana" w:hAnsi="Verdana"/>
                            <w:sz w:val="16"/>
                            <w:szCs w:val="16"/>
                          </w:rPr>
                          <w:t xml:space="preserve"> </w:t>
                        </w:r>
                        <w:hyperlink r:id="rId20" w:history="1">
                          <w:r w:rsidRPr="00790BCE">
                            <w:rPr>
                              <w:rStyle w:val="Hyperlink"/>
                              <w:rFonts w:ascii="Verdana" w:hAnsi="Verdana"/>
                              <w:sz w:val="16"/>
                              <w:szCs w:val="16"/>
                            </w:rPr>
                            <w:t>http://financien.belgium.be/nl/Actueel/circulaire-2017c28-betreffende-entrepots-wijzigingen-ingevolge-het-nieuwe-douanewetboek-van?section=dea</w:t>
                          </w:r>
                        </w:hyperlink>
                      </w:p>
                      <w:p w:rsidR="000B7D95" w:rsidRDefault="000B7D95" w:rsidP="007D69AD"/>
                      <w:p w:rsidR="000B7D95" w:rsidRDefault="000B7D95" w:rsidP="007D69AD">
                        <w:r>
                          <w:t xml:space="preserve">De circulaire werd eveneens op de website van </w:t>
                        </w:r>
                        <w:proofErr w:type="spellStart"/>
                        <w:r>
                          <w:t>FisconetPlus</w:t>
                        </w:r>
                        <w:proofErr w:type="spellEnd"/>
                        <w:r>
                          <w:t xml:space="preserve"> gepubliceerd. </w:t>
                        </w:r>
                      </w:p>
                      <w:p w:rsidR="000B7D95" w:rsidRPr="000B7D95" w:rsidRDefault="000B7D95" w:rsidP="000B7D95">
                        <w:pPr>
                          <w:pStyle w:val="Lijstalinea"/>
                          <w:ind w:left="147"/>
                          <w:rPr>
                            <w:rStyle w:val="Hyperlink"/>
                            <w:rFonts w:ascii="Verdana" w:hAnsi="Verdana"/>
                            <w:sz w:val="16"/>
                            <w:szCs w:val="16"/>
                          </w:rPr>
                        </w:pPr>
                        <w:hyperlink r:id="rId21" w:history="1">
                          <w:r w:rsidRPr="00790BCE">
                            <w:rPr>
                              <w:rStyle w:val="Hyperlink"/>
                              <w:rFonts w:ascii="Verdana" w:hAnsi="Verdana"/>
                              <w:sz w:val="16"/>
                              <w:szCs w:val="16"/>
                            </w:rPr>
                            <w:t>http://ccff02.minfin.fgov.be/KMWeb/document.do?method=view&amp;id=51672450-90af-4266-b543-c0767db156c1&amp;caller=1#findHighlighted</w:t>
                          </w:r>
                        </w:hyperlink>
                      </w:p>
                      <w:p w:rsidR="000B7D95" w:rsidRDefault="000B7D95" w:rsidP="007D69AD">
                        <w:pPr>
                          <w:pStyle w:val="Kop2"/>
                        </w:pPr>
                      </w:p>
                      <w:p w:rsidR="000B7D95" w:rsidRPr="00C84791" w:rsidRDefault="000B7D95" w:rsidP="000B7D95">
                        <w:pPr>
                          <w:pStyle w:val="Kop2"/>
                        </w:pPr>
                        <w:r>
                          <w:t>Borgakte plus in het kader van de directe vertegenwoordiging</w:t>
                        </w:r>
                      </w:p>
                      <w:p w:rsidR="000B7D95" w:rsidRDefault="000B7D95" w:rsidP="007D69AD">
                        <w:pPr>
                          <w:rPr>
                            <w:color w:val="FF0000"/>
                            <w:sz w:val="16"/>
                            <w:szCs w:val="16"/>
                          </w:rPr>
                        </w:pPr>
                        <w:r>
                          <w:t xml:space="preserve">Op de website van de AADA werd op 19/04 het model van de borgakte-plus en de toelichting erop gepubliceerd. Dit nieuw type borgakte dient gebruik te worden in het geval toepassing wordt gemaakt van de directe vertegenwoordiging met financiële faciliteiten.  </w:t>
                        </w:r>
                      </w:p>
                      <w:p w:rsidR="000B7D95" w:rsidRPr="000B7D95" w:rsidRDefault="000B7D95" w:rsidP="000B7D95">
                        <w:pPr>
                          <w:pStyle w:val="Lijstalinea"/>
                          <w:ind w:left="147"/>
                          <w:rPr>
                            <w:rStyle w:val="Hyperlink"/>
                            <w:rFonts w:ascii="Verdana" w:hAnsi="Verdana"/>
                            <w:sz w:val="16"/>
                            <w:szCs w:val="16"/>
                          </w:rPr>
                        </w:pPr>
                        <w:hyperlink r:id="rId22" w:history="1">
                          <w:r w:rsidRPr="00790BCE">
                            <w:rPr>
                              <w:rStyle w:val="Hyperlink"/>
                              <w:rFonts w:ascii="Verdana" w:hAnsi="Verdana"/>
                              <w:sz w:val="16"/>
                              <w:szCs w:val="16"/>
                            </w:rPr>
                            <w:t>http://financien.belgium.be/nl/Actueel/borgakte-plus?section=dea</w:t>
                          </w:r>
                        </w:hyperlink>
                      </w:p>
                      <w:p w:rsidR="000B7D95" w:rsidRDefault="000B7D95" w:rsidP="007D69AD">
                        <w:pPr>
                          <w:pStyle w:val="Kop2"/>
                        </w:pPr>
                      </w:p>
                      <w:p w:rsidR="000B7D95" w:rsidRPr="00C84791" w:rsidRDefault="000B7D95" w:rsidP="000B7D95">
                        <w:pPr>
                          <w:pStyle w:val="Kop2"/>
                        </w:pPr>
                        <w:r>
                          <w:t>Geconsolideerde verordening m.b.t. invoer uit bepaalde derde landen</w:t>
                        </w:r>
                      </w:p>
                      <w:p w:rsidR="000B7D95" w:rsidRPr="00822F80" w:rsidRDefault="000B7D95" w:rsidP="000B7D95">
                        <w:r>
                          <w:t xml:space="preserve">Op de website van </w:t>
                        </w:r>
                        <w:proofErr w:type="spellStart"/>
                        <w:r>
                          <w:t>FisconetPlus</w:t>
                        </w:r>
                        <w:proofErr w:type="spellEnd"/>
                        <w:r>
                          <w:t xml:space="preserve"> werd op 09/05 de geconsolideerde versie van </w:t>
                        </w:r>
                        <w:r w:rsidRPr="00822F80">
                          <w:t xml:space="preserve">Verordening (EU) 2015/755 </w:t>
                        </w:r>
                        <w:r>
                          <w:t xml:space="preserve">gepubliceerd betreffende de </w:t>
                        </w:r>
                        <w:r w:rsidRPr="00822F80">
                          <w:t>gemeenschappelijke regeling voor de invoer uit bepaalde derde landen</w:t>
                        </w:r>
                      </w:p>
                      <w:p w:rsidR="000B7D95" w:rsidRPr="000B7D95" w:rsidRDefault="000B7D95" w:rsidP="000B7D95">
                        <w:pPr>
                          <w:pStyle w:val="Lijstalinea"/>
                          <w:ind w:left="147"/>
                          <w:rPr>
                            <w:rStyle w:val="Hyperlink"/>
                            <w:rFonts w:ascii="Verdana" w:hAnsi="Verdana"/>
                            <w:sz w:val="16"/>
                            <w:szCs w:val="16"/>
                          </w:rPr>
                        </w:pPr>
                        <w:hyperlink r:id="rId23" w:history="1">
                          <w:r w:rsidRPr="00790BCE">
                            <w:rPr>
                              <w:rStyle w:val="Hyperlink"/>
                              <w:rFonts w:ascii="Verdana" w:hAnsi="Verdana"/>
                              <w:sz w:val="16"/>
                              <w:szCs w:val="16"/>
                            </w:rPr>
                            <w:t>http://ccff02.minfin.fgov.be/KMWeb/document.do?method=view&amp;id=d0b24a67-3ee2-4c34-a19c-edac314604e3&amp;caller=1#findHighlighted</w:t>
                          </w:r>
                        </w:hyperlink>
                      </w:p>
                      <w:p w:rsidR="000B7D95" w:rsidRDefault="000B7D95" w:rsidP="000B7D95">
                        <w:pPr>
                          <w:pStyle w:val="Kop2"/>
                        </w:pPr>
                      </w:p>
                      <w:p w:rsidR="000B7D95" w:rsidRPr="00C84791" w:rsidRDefault="000B7D95" w:rsidP="000B7D95">
                        <w:pPr>
                          <w:pStyle w:val="Kop2"/>
                        </w:pPr>
                        <w:r>
                          <w:t>Wet</w:t>
                        </w:r>
                        <w:r w:rsidRPr="00966327">
                          <w:t xml:space="preserve"> op de markt brengen en het gebruik van precursoren voor explosieven</w:t>
                        </w:r>
                      </w:p>
                      <w:p w:rsidR="000B7D95" w:rsidRDefault="000B7D95" w:rsidP="000B7D95">
                        <w:r>
                          <w:t xml:space="preserve">Op de website van </w:t>
                        </w:r>
                        <w:proofErr w:type="spellStart"/>
                        <w:r>
                          <w:t>FisconetPlus</w:t>
                        </w:r>
                        <w:proofErr w:type="spellEnd"/>
                        <w:r>
                          <w:t xml:space="preserve"> werd op 04/05 de </w:t>
                        </w:r>
                        <w:r w:rsidRPr="00966327">
                          <w:t xml:space="preserve">Wet van 15.07.2016 tot uitvoering van de Verordening (EU) nr. 98/2013 van het Europees Parlement en de Raad van 15 januari 2013 </w:t>
                        </w:r>
                        <w:r>
                          <w:t xml:space="preserve">gepubliceerd </w:t>
                        </w:r>
                        <w:r w:rsidRPr="00966327">
                          <w:t>over het op de markt brengen en het gebruik van precursoren voor explosieven</w:t>
                        </w:r>
                        <w:r>
                          <w:t>.</w:t>
                        </w:r>
                      </w:p>
                      <w:p w:rsidR="000B7D95" w:rsidRPr="000B7D95" w:rsidRDefault="000B7D95" w:rsidP="000B7D95">
                        <w:pPr>
                          <w:pStyle w:val="Lijstalinea"/>
                          <w:ind w:left="147"/>
                          <w:rPr>
                            <w:rStyle w:val="Hyperlink"/>
                            <w:rFonts w:ascii="Verdana" w:hAnsi="Verdana"/>
                            <w:sz w:val="16"/>
                            <w:szCs w:val="16"/>
                          </w:rPr>
                        </w:pPr>
                        <w:hyperlink r:id="rId24" w:history="1">
                          <w:r w:rsidRPr="00790BCE">
                            <w:rPr>
                              <w:rStyle w:val="Hyperlink"/>
                              <w:rFonts w:ascii="Verdana" w:hAnsi="Verdana"/>
                              <w:sz w:val="16"/>
                              <w:szCs w:val="16"/>
                            </w:rPr>
                            <w:t>http://ccff02.minfin.fgov.be/KMWeb/document.do?method=view&amp;id=8e247e0a-64a2-4fef-8f21-e5ebfdaf944c&amp;caller=1#findHighlighted</w:t>
                          </w:r>
                        </w:hyperlink>
                      </w:p>
                      <w:p w:rsidR="00A80140" w:rsidRPr="00494110" w:rsidRDefault="00A80140" w:rsidP="000B7D95">
                        <w:pPr>
                          <w:pStyle w:val="Kop3"/>
                        </w:pPr>
                      </w:p>
                    </w:tc>
                  </w:tr>
                </w:tbl>
                <w:p w:rsidR="00A80140" w:rsidRDefault="00A80140" w:rsidP="000B7D95"/>
              </w:tc>
            </w:tr>
          </w:tbl>
          <w:p w:rsidR="00A80140" w:rsidRDefault="00A80140" w:rsidP="000B7D95"/>
        </w:tc>
        <w:tc>
          <w:tcPr>
            <w:tcW w:w="0" w:type="auto"/>
            <w:shd w:val="clear" w:color="auto" w:fill="FFFFFF"/>
            <w:vAlign w:val="center"/>
            <w:hideMark/>
          </w:tcPr>
          <w:p w:rsidR="00A80140" w:rsidRDefault="00A80140" w:rsidP="000B7D95"/>
        </w:tc>
        <w:tc>
          <w:tcPr>
            <w:tcW w:w="0" w:type="auto"/>
            <w:shd w:val="clear" w:color="auto" w:fill="19345F"/>
            <w:vAlign w:val="center"/>
            <w:hideMark/>
          </w:tcPr>
          <w:p w:rsidR="00A80140" w:rsidRDefault="00A80140" w:rsidP="000B7D95"/>
        </w:tc>
      </w:tr>
      <w:tr w:rsidR="00A80140" w:rsidTr="00494110">
        <w:trPr>
          <w:trHeight w:val="225"/>
          <w:tblCellSpacing w:w="0" w:type="dxa"/>
          <w:jc w:val="center"/>
        </w:trPr>
        <w:tc>
          <w:tcPr>
            <w:tcW w:w="284" w:type="dxa"/>
            <w:shd w:val="clear" w:color="auto" w:fill="19345F"/>
            <w:vAlign w:val="center"/>
            <w:hideMark/>
          </w:tcPr>
          <w:p w:rsidR="00A80140" w:rsidRDefault="00A80140" w:rsidP="000B7D95"/>
        </w:tc>
        <w:tc>
          <w:tcPr>
            <w:tcW w:w="20" w:type="dxa"/>
            <w:shd w:val="clear" w:color="auto" w:fill="FFFFFF"/>
            <w:vAlign w:val="center"/>
            <w:hideMark/>
          </w:tcPr>
          <w:p w:rsidR="00A80140" w:rsidRDefault="00A80140" w:rsidP="000B7D95"/>
        </w:tc>
        <w:tc>
          <w:tcPr>
            <w:tcW w:w="8171" w:type="dxa"/>
            <w:gridSpan w:val="2"/>
            <w:shd w:val="clear" w:color="auto" w:fill="FFFFFF"/>
            <w:vAlign w:val="center"/>
            <w:hideMark/>
          </w:tcPr>
          <w:p w:rsidR="00A80140" w:rsidRDefault="00A80140" w:rsidP="000B7D95"/>
        </w:tc>
        <w:tc>
          <w:tcPr>
            <w:tcW w:w="225" w:type="dxa"/>
            <w:shd w:val="clear" w:color="auto" w:fill="FFFFFF"/>
            <w:vAlign w:val="center"/>
            <w:hideMark/>
          </w:tcPr>
          <w:p w:rsidR="00A80140" w:rsidRDefault="00A80140" w:rsidP="000B7D95"/>
        </w:tc>
        <w:tc>
          <w:tcPr>
            <w:tcW w:w="0" w:type="auto"/>
            <w:shd w:val="clear" w:color="auto" w:fill="19345F"/>
            <w:vAlign w:val="center"/>
            <w:hideMark/>
          </w:tcPr>
          <w:p w:rsidR="00A80140" w:rsidRDefault="00A80140" w:rsidP="000B7D95"/>
        </w:tc>
      </w:tr>
      <w:tr w:rsidR="00A80140" w:rsidTr="00494110">
        <w:trPr>
          <w:trHeight w:val="300"/>
          <w:tblCellSpacing w:w="0" w:type="dxa"/>
          <w:jc w:val="center"/>
        </w:trPr>
        <w:tc>
          <w:tcPr>
            <w:tcW w:w="284" w:type="dxa"/>
            <w:shd w:val="clear" w:color="auto" w:fill="19345F"/>
            <w:vAlign w:val="center"/>
            <w:hideMark/>
          </w:tcPr>
          <w:p w:rsidR="00A80140" w:rsidRDefault="00A80140" w:rsidP="000B7D95"/>
        </w:tc>
        <w:tc>
          <w:tcPr>
            <w:tcW w:w="20" w:type="dxa"/>
            <w:shd w:val="clear" w:color="auto" w:fill="19345F"/>
            <w:vAlign w:val="center"/>
            <w:hideMark/>
          </w:tcPr>
          <w:p w:rsidR="00A80140" w:rsidRDefault="00A80140" w:rsidP="000B7D95"/>
        </w:tc>
        <w:tc>
          <w:tcPr>
            <w:tcW w:w="8171" w:type="dxa"/>
            <w:gridSpan w:val="2"/>
            <w:shd w:val="clear" w:color="auto" w:fill="19345F"/>
            <w:vAlign w:val="center"/>
            <w:hideMark/>
          </w:tcPr>
          <w:p w:rsidR="00A80140" w:rsidRDefault="00A80140" w:rsidP="000B7D95"/>
        </w:tc>
        <w:tc>
          <w:tcPr>
            <w:tcW w:w="0" w:type="auto"/>
            <w:shd w:val="clear" w:color="auto" w:fill="19345F"/>
            <w:vAlign w:val="center"/>
            <w:hideMark/>
          </w:tcPr>
          <w:p w:rsidR="00A80140" w:rsidRDefault="00A80140" w:rsidP="000B7D95"/>
        </w:tc>
        <w:tc>
          <w:tcPr>
            <w:tcW w:w="300" w:type="dxa"/>
            <w:shd w:val="clear" w:color="auto" w:fill="19345F"/>
            <w:vAlign w:val="center"/>
            <w:hideMark/>
          </w:tcPr>
          <w:p w:rsidR="00A80140" w:rsidRDefault="00A80140" w:rsidP="000B7D95">
            <w:r>
              <w:rPr>
                <w:noProof/>
              </w:rPr>
              <w:drawing>
                <wp:inline distT="0" distB="0" distL="0" distR="0">
                  <wp:extent cx="190500" cy="190500"/>
                  <wp:effectExtent l="0" t="0" r="0" b="0"/>
                  <wp:docPr id="33" name="Afbeelding 33" descr="http://cdn.voka.addemar.com/files/a_vokaantwerpen/data/Image/logo/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cdn.voka.addemar.com/files/a_vokaantwerpen/data/Image/logo/spc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A80140" w:rsidRDefault="00A80140" w:rsidP="000B7D95"/>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80140" w:rsidTr="00A80140">
        <w:trPr>
          <w:tblCellSpacing w:w="0" w:type="dxa"/>
          <w:jc w:val="center"/>
        </w:trPr>
        <w:tc>
          <w:tcPr>
            <w:tcW w:w="0" w:type="auto"/>
            <w:shd w:val="clear" w:color="auto" w:fill="FFFFFF"/>
            <w:vAlign w:val="center"/>
            <w:hideMark/>
          </w:tcPr>
          <w:p w:rsidR="00A80140" w:rsidRDefault="00A80140" w:rsidP="000B7D95"/>
        </w:tc>
      </w:tr>
    </w:tbl>
    <w:p w:rsidR="00A80140" w:rsidRDefault="00A80140" w:rsidP="000B7D95"/>
    <w:p w:rsidR="00A80140" w:rsidRDefault="00A80140" w:rsidP="000B7D95"/>
    <w:sectPr w:rsidR="00A80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7FC2"/>
    <w:multiLevelType w:val="hybridMultilevel"/>
    <w:tmpl w:val="3752AB0E"/>
    <w:lvl w:ilvl="0" w:tplc="6F160312">
      <w:numFmt w:val="bullet"/>
      <w:lvlText w:val="-"/>
      <w:lvlJc w:val="left"/>
      <w:pPr>
        <w:ind w:left="471" w:hanging="360"/>
      </w:pPr>
      <w:rPr>
        <w:rFonts w:ascii="Arial" w:eastAsia="Times New Roman" w:hAnsi="Arial" w:cs="Arial" w:hint="default"/>
      </w:rPr>
    </w:lvl>
    <w:lvl w:ilvl="1" w:tplc="08130003" w:tentative="1">
      <w:start w:val="1"/>
      <w:numFmt w:val="bullet"/>
      <w:lvlText w:val="o"/>
      <w:lvlJc w:val="left"/>
      <w:pPr>
        <w:ind w:left="1191" w:hanging="360"/>
      </w:pPr>
      <w:rPr>
        <w:rFonts w:ascii="Courier New" w:hAnsi="Courier New" w:cs="Courier New" w:hint="default"/>
      </w:rPr>
    </w:lvl>
    <w:lvl w:ilvl="2" w:tplc="08130005" w:tentative="1">
      <w:start w:val="1"/>
      <w:numFmt w:val="bullet"/>
      <w:lvlText w:val=""/>
      <w:lvlJc w:val="left"/>
      <w:pPr>
        <w:ind w:left="1911" w:hanging="360"/>
      </w:pPr>
      <w:rPr>
        <w:rFonts w:ascii="Wingdings" w:hAnsi="Wingdings" w:hint="default"/>
      </w:rPr>
    </w:lvl>
    <w:lvl w:ilvl="3" w:tplc="08130001" w:tentative="1">
      <w:start w:val="1"/>
      <w:numFmt w:val="bullet"/>
      <w:lvlText w:val=""/>
      <w:lvlJc w:val="left"/>
      <w:pPr>
        <w:ind w:left="2631" w:hanging="360"/>
      </w:pPr>
      <w:rPr>
        <w:rFonts w:ascii="Symbol" w:hAnsi="Symbol" w:hint="default"/>
      </w:rPr>
    </w:lvl>
    <w:lvl w:ilvl="4" w:tplc="08130003" w:tentative="1">
      <w:start w:val="1"/>
      <w:numFmt w:val="bullet"/>
      <w:lvlText w:val="o"/>
      <w:lvlJc w:val="left"/>
      <w:pPr>
        <w:ind w:left="3351" w:hanging="360"/>
      </w:pPr>
      <w:rPr>
        <w:rFonts w:ascii="Courier New" w:hAnsi="Courier New" w:cs="Courier New" w:hint="default"/>
      </w:rPr>
    </w:lvl>
    <w:lvl w:ilvl="5" w:tplc="08130005" w:tentative="1">
      <w:start w:val="1"/>
      <w:numFmt w:val="bullet"/>
      <w:lvlText w:val=""/>
      <w:lvlJc w:val="left"/>
      <w:pPr>
        <w:ind w:left="4071" w:hanging="360"/>
      </w:pPr>
      <w:rPr>
        <w:rFonts w:ascii="Wingdings" w:hAnsi="Wingdings" w:hint="default"/>
      </w:rPr>
    </w:lvl>
    <w:lvl w:ilvl="6" w:tplc="08130001" w:tentative="1">
      <w:start w:val="1"/>
      <w:numFmt w:val="bullet"/>
      <w:lvlText w:val=""/>
      <w:lvlJc w:val="left"/>
      <w:pPr>
        <w:ind w:left="4791" w:hanging="360"/>
      </w:pPr>
      <w:rPr>
        <w:rFonts w:ascii="Symbol" w:hAnsi="Symbol" w:hint="default"/>
      </w:rPr>
    </w:lvl>
    <w:lvl w:ilvl="7" w:tplc="08130003" w:tentative="1">
      <w:start w:val="1"/>
      <w:numFmt w:val="bullet"/>
      <w:lvlText w:val="o"/>
      <w:lvlJc w:val="left"/>
      <w:pPr>
        <w:ind w:left="5511" w:hanging="360"/>
      </w:pPr>
      <w:rPr>
        <w:rFonts w:ascii="Courier New" w:hAnsi="Courier New" w:cs="Courier New" w:hint="default"/>
      </w:rPr>
    </w:lvl>
    <w:lvl w:ilvl="8" w:tplc="08130005" w:tentative="1">
      <w:start w:val="1"/>
      <w:numFmt w:val="bullet"/>
      <w:lvlText w:val=""/>
      <w:lvlJc w:val="left"/>
      <w:pPr>
        <w:ind w:left="6231" w:hanging="360"/>
      </w:pPr>
      <w:rPr>
        <w:rFonts w:ascii="Wingdings" w:hAnsi="Wingdings" w:hint="default"/>
      </w:rPr>
    </w:lvl>
  </w:abstractNum>
  <w:abstractNum w:abstractNumId="1" w15:restartNumberingAfterBreak="0">
    <w:nsid w:val="4E14239C"/>
    <w:multiLevelType w:val="hybridMultilevel"/>
    <w:tmpl w:val="8688718A"/>
    <w:lvl w:ilvl="0" w:tplc="EC16AB34">
      <w:numFmt w:val="bullet"/>
      <w:lvlText w:val="-"/>
      <w:lvlJc w:val="left"/>
      <w:pPr>
        <w:ind w:left="831" w:hanging="360"/>
      </w:pPr>
      <w:rPr>
        <w:rFonts w:ascii="Verdana" w:eastAsia="Times New Roman" w:hAnsi="Verdana" w:cs="Times New Roman" w:hint="default"/>
      </w:rPr>
    </w:lvl>
    <w:lvl w:ilvl="1" w:tplc="08130003" w:tentative="1">
      <w:start w:val="1"/>
      <w:numFmt w:val="bullet"/>
      <w:lvlText w:val="o"/>
      <w:lvlJc w:val="left"/>
      <w:pPr>
        <w:ind w:left="1551" w:hanging="360"/>
      </w:pPr>
      <w:rPr>
        <w:rFonts w:ascii="Courier New" w:hAnsi="Courier New" w:cs="Courier New" w:hint="default"/>
      </w:rPr>
    </w:lvl>
    <w:lvl w:ilvl="2" w:tplc="08130005" w:tentative="1">
      <w:start w:val="1"/>
      <w:numFmt w:val="bullet"/>
      <w:lvlText w:val=""/>
      <w:lvlJc w:val="left"/>
      <w:pPr>
        <w:ind w:left="2271" w:hanging="360"/>
      </w:pPr>
      <w:rPr>
        <w:rFonts w:ascii="Wingdings" w:hAnsi="Wingdings" w:hint="default"/>
      </w:rPr>
    </w:lvl>
    <w:lvl w:ilvl="3" w:tplc="08130001" w:tentative="1">
      <w:start w:val="1"/>
      <w:numFmt w:val="bullet"/>
      <w:lvlText w:val=""/>
      <w:lvlJc w:val="left"/>
      <w:pPr>
        <w:ind w:left="2991" w:hanging="360"/>
      </w:pPr>
      <w:rPr>
        <w:rFonts w:ascii="Symbol" w:hAnsi="Symbol" w:hint="default"/>
      </w:rPr>
    </w:lvl>
    <w:lvl w:ilvl="4" w:tplc="08130003" w:tentative="1">
      <w:start w:val="1"/>
      <w:numFmt w:val="bullet"/>
      <w:lvlText w:val="o"/>
      <w:lvlJc w:val="left"/>
      <w:pPr>
        <w:ind w:left="3711" w:hanging="360"/>
      </w:pPr>
      <w:rPr>
        <w:rFonts w:ascii="Courier New" w:hAnsi="Courier New" w:cs="Courier New" w:hint="default"/>
      </w:rPr>
    </w:lvl>
    <w:lvl w:ilvl="5" w:tplc="08130005" w:tentative="1">
      <w:start w:val="1"/>
      <w:numFmt w:val="bullet"/>
      <w:lvlText w:val=""/>
      <w:lvlJc w:val="left"/>
      <w:pPr>
        <w:ind w:left="4431" w:hanging="360"/>
      </w:pPr>
      <w:rPr>
        <w:rFonts w:ascii="Wingdings" w:hAnsi="Wingdings" w:hint="default"/>
      </w:rPr>
    </w:lvl>
    <w:lvl w:ilvl="6" w:tplc="08130001" w:tentative="1">
      <w:start w:val="1"/>
      <w:numFmt w:val="bullet"/>
      <w:lvlText w:val=""/>
      <w:lvlJc w:val="left"/>
      <w:pPr>
        <w:ind w:left="5151" w:hanging="360"/>
      </w:pPr>
      <w:rPr>
        <w:rFonts w:ascii="Symbol" w:hAnsi="Symbol" w:hint="default"/>
      </w:rPr>
    </w:lvl>
    <w:lvl w:ilvl="7" w:tplc="08130003" w:tentative="1">
      <w:start w:val="1"/>
      <w:numFmt w:val="bullet"/>
      <w:lvlText w:val="o"/>
      <w:lvlJc w:val="left"/>
      <w:pPr>
        <w:ind w:left="5871" w:hanging="360"/>
      </w:pPr>
      <w:rPr>
        <w:rFonts w:ascii="Courier New" w:hAnsi="Courier New" w:cs="Courier New" w:hint="default"/>
      </w:rPr>
    </w:lvl>
    <w:lvl w:ilvl="8" w:tplc="08130005" w:tentative="1">
      <w:start w:val="1"/>
      <w:numFmt w:val="bullet"/>
      <w:lvlText w:val=""/>
      <w:lvlJc w:val="left"/>
      <w:pPr>
        <w:ind w:left="6591" w:hanging="360"/>
      </w:pPr>
      <w:rPr>
        <w:rFonts w:ascii="Wingdings" w:hAnsi="Wingdings" w:hint="default"/>
      </w:rPr>
    </w:lvl>
  </w:abstractNum>
  <w:abstractNum w:abstractNumId="2" w15:restartNumberingAfterBreak="0">
    <w:nsid w:val="53B76197"/>
    <w:multiLevelType w:val="hybridMultilevel"/>
    <w:tmpl w:val="69BEF6E8"/>
    <w:lvl w:ilvl="0" w:tplc="EC16AB3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D64C3C"/>
    <w:multiLevelType w:val="hybridMultilevel"/>
    <w:tmpl w:val="A4DC255A"/>
    <w:lvl w:ilvl="0" w:tplc="08130001">
      <w:start w:val="1"/>
      <w:numFmt w:val="bullet"/>
      <w:lvlText w:val=""/>
      <w:lvlJc w:val="left"/>
      <w:pPr>
        <w:ind w:left="831" w:hanging="360"/>
      </w:pPr>
      <w:rPr>
        <w:rFonts w:ascii="Symbol" w:hAnsi="Symbol" w:hint="default"/>
      </w:rPr>
    </w:lvl>
    <w:lvl w:ilvl="1" w:tplc="08130003" w:tentative="1">
      <w:start w:val="1"/>
      <w:numFmt w:val="bullet"/>
      <w:lvlText w:val="o"/>
      <w:lvlJc w:val="left"/>
      <w:pPr>
        <w:ind w:left="1551" w:hanging="360"/>
      </w:pPr>
      <w:rPr>
        <w:rFonts w:ascii="Courier New" w:hAnsi="Courier New" w:cs="Courier New" w:hint="default"/>
      </w:rPr>
    </w:lvl>
    <w:lvl w:ilvl="2" w:tplc="08130005" w:tentative="1">
      <w:start w:val="1"/>
      <w:numFmt w:val="bullet"/>
      <w:lvlText w:val=""/>
      <w:lvlJc w:val="left"/>
      <w:pPr>
        <w:ind w:left="2271" w:hanging="360"/>
      </w:pPr>
      <w:rPr>
        <w:rFonts w:ascii="Wingdings" w:hAnsi="Wingdings" w:hint="default"/>
      </w:rPr>
    </w:lvl>
    <w:lvl w:ilvl="3" w:tplc="08130001" w:tentative="1">
      <w:start w:val="1"/>
      <w:numFmt w:val="bullet"/>
      <w:lvlText w:val=""/>
      <w:lvlJc w:val="left"/>
      <w:pPr>
        <w:ind w:left="2991" w:hanging="360"/>
      </w:pPr>
      <w:rPr>
        <w:rFonts w:ascii="Symbol" w:hAnsi="Symbol" w:hint="default"/>
      </w:rPr>
    </w:lvl>
    <w:lvl w:ilvl="4" w:tplc="08130003" w:tentative="1">
      <w:start w:val="1"/>
      <w:numFmt w:val="bullet"/>
      <w:lvlText w:val="o"/>
      <w:lvlJc w:val="left"/>
      <w:pPr>
        <w:ind w:left="3711" w:hanging="360"/>
      </w:pPr>
      <w:rPr>
        <w:rFonts w:ascii="Courier New" w:hAnsi="Courier New" w:cs="Courier New" w:hint="default"/>
      </w:rPr>
    </w:lvl>
    <w:lvl w:ilvl="5" w:tplc="08130005" w:tentative="1">
      <w:start w:val="1"/>
      <w:numFmt w:val="bullet"/>
      <w:lvlText w:val=""/>
      <w:lvlJc w:val="left"/>
      <w:pPr>
        <w:ind w:left="4431" w:hanging="360"/>
      </w:pPr>
      <w:rPr>
        <w:rFonts w:ascii="Wingdings" w:hAnsi="Wingdings" w:hint="default"/>
      </w:rPr>
    </w:lvl>
    <w:lvl w:ilvl="6" w:tplc="08130001" w:tentative="1">
      <w:start w:val="1"/>
      <w:numFmt w:val="bullet"/>
      <w:lvlText w:val=""/>
      <w:lvlJc w:val="left"/>
      <w:pPr>
        <w:ind w:left="5151" w:hanging="360"/>
      </w:pPr>
      <w:rPr>
        <w:rFonts w:ascii="Symbol" w:hAnsi="Symbol" w:hint="default"/>
      </w:rPr>
    </w:lvl>
    <w:lvl w:ilvl="7" w:tplc="08130003" w:tentative="1">
      <w:start w:val="1"/>
      <w:numFmt w:val="bullet"/>
      <w:lvlText w:val="o"/>
      <w:lvlJc w:val="left"/>
      <w:pPr>
        <w:ind w:left="5871" w:hanging="360"/>
      </w:pPr>
      <w:rPr>
        <w:rFonts w:ascii="Courier New" w:hAnsi="Courier New" w:cs="Courier New" w:hint="default"/>
      </w:rPr>
    </w:lvl>
    <w:lvl w:ilvl="8" w:tplc="08130005" w:tentative="1">
      <w:start w:val="1"/>
      <w:numFmt w:val="bullet"/>
      <w:lvlText w:val=""/>
      <w:lvlJc w:val="left"/>
      <w:pPr>
        <w:ind w:left="659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88"/>
    <w:rsid w:val="000B7D95"/>
    <w:rsid w:val="001F4788"/>
    <w:rsid w:val="00494110"/>
    <w:rsid w:val="0053754B"/>
    <w:rsid w:val="007D69AD"/>
    <w:rsid w:val="00885E08"/>
    <w:rsid w:val="0091081F"/>
    <w:rsid w:val="00A80140"/>
    <w:rsid w:val="00AE48CD"/>
    <w:rsid w:val="00D951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C403DA7"/>
  <w15:chartTrackingRefBased/>
  <w15:docId w15:val="{7A72922C-07E1-4ECB-8595-CE96B0E8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B7D95"/>
    <w:pPr>
      <w:spacing w:after="75" w:line="240" w:lineRule="auto"/>
      <w:ind w:left="111"/>
      <w:outlineLvl w:val="2"/>
    </w:pPr>
    <w:rPr>
      <w:rFonts w:ascii="Arial" w:eastAsia="Times New Roman" w:hAnsi="Arial" w:cs="Arial"/>
      <w:iCs/>
      <w:sz w:val="20"/>
      <w:szCs w:val="20"/>
      <w:lang w:eastAsia="nl-BE"/>
    </w:rPr>
  </w:style>
  <w:style w:type="paragraph" w:styleId="Kop1">
    <w:name w:val="heading 1"/>
    <w:basedOn w:val="Standaard"/>
    <w:link w:val="Kop1Char"/>
    <w:uiPriority w:val="9"/>
    <w:qFormat/>
    <w:rsid w:val="001F4788"/>
    <w:pPr>
      <w:spacing w:line="420" w:lineRule="atLeast"/>
      <w:outlineLvl w:val="0"/>
    </w:pPr>
    <w:rPr>
      <w:b/>
      <w:bCs/>
      <w:caps/>
      <w:color w:val="19345F"/>
      <w:kern w:val="36"/>
      <w:sz w:val="48"/>
      <w:szCs w:val="48"/>
    </w:rPr>
  </w:style>
  <w:style w:type="paragraph" w:styleId="Kop2">
    <w:name w:val="heading 2"/>
    <w:basedOn w:val="Kop3"/>
    <w:next w:val="Standaard"/>
    <w:link w:val="Kop2Char"/>
    <w:uiPriority w:val="9"/>
    <w:unhideWhenUsed/>
    <w:qFormat/>
    <w:rsid w:val="000B7D95"/>
    <w:pPr>
      <w:outlineLvl w:val="1"/>
    </w:pPr>
    <w:rPr>
      <w:rFonts w:ascii="Georgia" w:hAnsi="Georgia"/>
      <w:b w:val="0"/>
      <w:bCs w:val="0"/>
      <w:i/>
      <w:iCs w:val="0"/>
      <w:caps w:val="0"/>
    </w:rPr>
  </w:style>
  <w:style w:type="paragraph" w:styleId="Kop3">
    <w:name w:val="heading 3"/>
    <w:basedOn w:val="Standaard"/>
    <w:link w:val="Kop3Char"/>
    <w:uiPriority w:val="9"/>
    <w:unhideWhenUsed/>
    <w:qFormat/>
    <w:rsid w:val="001F4788"/>
    <w:rPr>
      <w:b/>
      <w:bCs/>
      <w:caps/>
      <w:color w:val="19345F"/>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4788"/>
    <w:rPr>
      <w:rFonts w:ascii="Arial" w:hAnsi="Arial" w:cs="Arial"/>
      <w:b/>
      <w:bCs/>
      <w:caps/>
      <w:color w:val="19345F"/>
      <w:kern w:val="36"/>
      <w:sz w:val="48"/>
      <w:szCs w:val="48"/>
      <w:lang w:eastAsia="nl-BE"/>
    </w:rPr>
  </w:style>
  <w:style w:type="character" w:customStyle="1" w:styleId="Kop3Char">
    <w:name w:val="Kop 3 Char"/>
    <w:basedOn w:val="Standaardalinea-lettertype"/>
    <w:link w:val="Kop3"/>
    <w:uiPriority w:val="9"/>
    <w:rsid w:val="001F4788"/>
    <w:rPr>
      <w:rFonts w:ascii="Arial" w:hAnsi="Arial" w:cs="Arial"/>
      <w:b/>
      <w:bCs/>
      <w:caps/>
      <w:color w:val="19345F"/>
      <w:sz w:val="27"/>
      <w:szCs w:val="27"/>
      <w:lang w:eastAsia="nl-BE"/>
    </w:rPr>
  </w:style>
  <w:style w:type="character" w:styleId="Hyperlink">
    <w:name w:val="Hyperlink"/>
    <w:basedOn w:val="Standaardalinea-lettertype"/>
    <w:uiPriority w:val="99"/>
    <w:unhideWhenUsed/>
    <w:rsid w:val="001F4788"/>
    <w:rPr>
      <w:strike w:val="0"/>
      <w:dstrike w:val="0"/>
      <w:color w:val="19345F"/>
      <w:u w:val="none"/>
      <w:effect w:val="none"/>
    </w:rPr>
  </w:style>
  <w:style w:type="character" w:styleId="Zwaar">
    <w:name w:val="Strong"/>
    <w:basedOn w:val="Standaardalinea-lettertype"/>
    <w:uiPriority w:val="22"/>
    <w:qFormat/>
    <w:rsid w:val="001F4788"/>
    <w:rPr>
      <w:b/>
      <w:bCs/>
    </w:rPr>
  </w:style>
  <w:style w:type="paragraph" w:styleId="Geenafstand">
    <w:name w:val="No Spacing"/>
    <w:uiPriority w:val="1"/>
    <w:qFormat/>
    <w:rsid w:val="001F4788"/>
    <w:pPr>
      <w:spacing w:after="0" w:line="240" w:lineRule="auto"/>
    </w:pPr>
    <w:rPr>
      <w:rFonts w:ascii="Times New Roman" w:eastAsia="Times New Roman" w:hAnsi="Times New Roman" w:cs="Times New Roman"/>
      <w:sz w:val="20"/>
      <w:szCs w:val="20"/>
      <w:lang w:val="en-GB"/>
    </w:rPr>
  </w:style>
  <w:style w:type="paragraph" w:styleId="Lijstalinea">
    <w:name w:val="List Paragraph"/>
    <w:basedOn w:val="Standaard"/>
    <w:uiPriority w:val="34"/>
    <w:qFormat/>
    <w:rsid w:val="000B7D95"/>
    <w:pPr>
      <w:ind w:left="720"/>
    </w:pPr>
    <w:rPr>
      <w:rFonts w:ascii="Calibri" w:eastAsia="Calibri" w:hAnsi="Calibri" w:cs="Calibri"/>
      <w:sz w:val="22"/>
      <w:szCs w:val="22"/>
      <w:lang w:eastAsia="en-US"/>
    </w:rPr>
  </w:style>
  <w:style w:type="character" w:customStyle="1" w:styleId="Kop2Char">
    <w:name w:val="Kop 2 Char"/>
    <w:basedOn w:val="Standaardalinea-lettertype"/>
    <w:link w:val="Kop2"/>
    <w:uiPriority w:val="9"/>
    <w:rsid w:val="000B7D95"/>
    <w:rPr>
      <w:rFonts w:ascii="Georgia" w:eastAsia="Times New Roman" w:hAnsi="Georgia" w:cs="Arial"/>
      <w:i/>
      <w:iCs/>
      <w:color w:val="19345F"/>
      <w:sz w:val="27"/>
      <w:szCs w:val="27"/>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8768">
      <w:bodyDiv w:val="1"/>
      <w:marLeft w:val="0"/>
      <w:marRight w:val="0"/>
      <w:marTop w:val="0"/>
      <w:marBottom w:val="0"/>
      <w:divBdr>
        <w:top w:val="none" w:sz="0" w:space="0" w:color="auto"/>
        <w:left w:val="none" w:sz="0" w:space="0" w:color="auto"/>
        <w:bottom w:val="none" w:sz="0" w:space="0" w:color="auto"/>
        <w:right w:val="none" w:sz="0" w:space="0" w:color="auto"/>
      </w:divBdr>
    </w:div>
    <w:div w:id="1030566275">
      <w:bodyDiv w:val="1"/>
      <w:marLeft w:val="0"/>
      <w:marRight w:val="0"/>
      <w:marTop w:val="0"/>
      <w:marBottom w:val="0"/>
      <w:divBdr>
        <w:top w:val="none" w:sz="0" w:space="0" w:color="auto"/>
        <w:left w:val="none" w:sz="0" w:space="0" w:color="auto"/>
        <w:bottom w:val="none" w:sz="0" w:space="0" w:color="auto"/>
        <w:right w:val="none" w:sz="0" w:space="0" w:color="auto"/>
      </w:divBdr>
    </w:div>
    <w:div w:id="1052117197">
      <w:bodyDiv w:val="1"/>
      <w:marLeft w:val="0"/>
      <w:marRight w:val="0"/>
      <w:marTop w:val="0"/>
      <w:marBottom w:val="0"/>
      <w:divBdr>
        <w:top w:val="none" w:sz="0" w:space="0" w:color="auto"/>
        <w:left w:val="none" w:sz="0" w:space="0" w:color="auto"/>
        <w:bottom w:val="none" w:sz="0" w:space="0" w:color="auto"/>
        <w:right w:val="none" w:sz="0" w:space="0" w:color="auto"/>
      </w:divBdr>
    </w:div>
    <w:div w:id="20637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ff02.minfin.fgov.be/KMWeb/document.do?method=view&amp;id=8075e204-10b7-4c0d-abdf-f4a1c62f702d&amp;caller=1#findHighlighted" TargetMode="External"/><Relationship Id="rId13" Type="http://schemas.openxmlformats.org/officeDocument/2006/relationships/hyperlink" Target="http://ccff02.minfin.fgov.be/KMWeb/document.do?method=view&amp;id=eac7500f-1beb-409b-bd52-d5f20860237d&amp;caller=1#findHighlighted" TargetMode="External"/><Relationship Id="rId18" Type="http://schemas.openxmlformats.org/officeDocument/2006/relationships/hyperlink" Target="http://ccff02.minfin.fgov.be/KMWeb/document.do?method=view&amp;id=ffb0dbe1-ce8d-44a9-8655-53c76bc9b08e&amp;caller=1#findHighlight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cff02.minfin.fgov.be/KMWeb/document.do?method=view&amp;id=51672450-90af-4266-b543-c0767db156c1&amp;caller=1#findHighlighted" TargetMode="External"/><Relationship Id="rId7" Type="http://schemas.openxmlformats.org/officeDocument/2006/relationships/hyperlink" Target="http://www.naforna.be/nl/nieuws/16032017-nieuwe-website-douane-en-accijnzen" TargetMode="External"/><Relationship Id="rId12" Type="http://schemas.openxmlformats.org/officeDocument/2006/relationships/hyperlink" Target="http://ccff02.minfin.fgov.be/KMWeb/document.do?method=view&amp;id=9e5d5a79-321e-47d4-936e-0c2ccac0cc02&amp;caller=1#findHighlighted" TargetMode="External"/><Relationship Id="rId17" Type="http://schemas.openxmlformats.org/officeDocument/2006/relationships/hyperlink" Target="http://presscenter.org/nl/pressrelease/20170323/belgische-en-luxemburgse-douane-tekenen-akkoord-voor-gebruik-vrachtwagenscan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cff02.minfin.fgov.be/KMWeb/document.do?method=view&amp;id=7683e2b8-e8ea-4d9f-a363-317442ed4859&amp;caller=1#findHighlighted" TargetMode="External"/><Relationship Id="rId20" Type="http://schemas.openxmlformats.org/officeDocument/2006/relationships/hyperlink" Target="http://financien.belgium.be/nl/Actueel/circulaire-2017c28-betreffende-entrepots-wijzigingen-ingevolge-het-nieuwe-douanewetboek-van?section=dea"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ccff02.minfin.fgov.be/KMWeb/document.do?method=view&amp;id=29ea6c11-ca92-4167-a9e4-5c4d8d44270f&amp;caller=1#findHighlighted" TargetMode="External"/><Relationship Id="rId24" Type="http://schemas.openxmlformats.org/officeDocument/2006/relationships/hyperlink" Target="http://ccff02.minfin.fgov.be/KMWeb/document.do?method=view&amp;id=8e247e0a-64a2-4fef-8f21-e5ebfdaf944c&amp;caller=1#findHighlighted" TargetMode="External"/><Relationship Id="rId5" Type="http://schemas.openxmlformats.org/officeDocument/2006/relationships/image" Target="media/image1.gif"/><Relationship Id="rId15" Type="http://schemas.openxmlformats.org/officeDocument/2006/relationships/hyperlink" Target="http://financien.belgium.be/nl/Actueel/bent-u-verbonden-aan-het-kantoor-bilzen-geel-bereid-u-alvast-voor-op-de-lancering-van-de-0?section=dea" TargetMode="External"/><Relationship Id="rId23" Type="http://schemas.openxmlformats.org/officeDocument/2006/relationships/hyperlink" Target="http://ccff02.minfin.fgov.be/KMWeb/document.do?method=view&amp;id=d0b24a67-3ee2-4c34-a19c-edac314604e3&amp;caller=1#findHighlighted" TargetMode="External"/><Relationship Id="rId10" Type="http://schemas.openxmlformats.org/officeDocument/2006/relationships/hyperlink" Target="http://ccff02.minfin.fgov.be/KMWeb/document.do?method=view&amp;id=3353b5cf-99ec-471e-8b66-712951eb2ff7&amp;caller=1#findHighlighted" TargetMode="External"/><Relationship Id="rId19" Type="http://schemas.openxmlformats.org/officeDocument/2006/relationships/hyperlink" Target="http://financien.belgium.be/nl/douane_accijnzen/ondernemingen/accijnzen/accijnsgoederen/energieproducten-en-elektriciteit" TargetMode="External"/><Relationship Id="rId4" Type="http://schemas.openxmlformats.org/officeDocument/2006/relationships/webSettings" Target="webSettings.xml"/><Relationship Id="rId9" Type="http://schemas.openxmlformats.org/officeDocument/2006/relationships/hyperlink" Target="http://ccff02.minfin.fgov.be/KMWeb/document.do?method=view&amp;id=acdd853a-ca34-4931-b7a7-6ed1abd50b15&amp;caller=1#findHighlighted" TargetMode="External"/><Relationship Id="rId14" Type="http://schemas.openxmlformats.org/officeDocument/2006/relationships/hyperlink" Target="http://financien.belgium.be/nl/Actueel/update-aflevering-van-het-vignet-705-vereenvoudigde-procedure?section=dea" TargetMode="External"/><Relationship Id="rId22" Type="http://schemas.openxmlformats.org/officeDocument/2006/relationships/hyperlink" Target="http://financien.belgium.be/nl/Actueel/borgakte-plus?section=de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1554</Words>
  <Characters>8547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Aken Eliene</dc:creator>
  <cp:keywords/>
  <dc:description/>
  <cp:lastModifiedBy>Van Aken Eliene</cp:lastModifiedBy>
  <cp:revision>4</cp:revision>
  <dcterms:created xsi:type="dcterms:W3CDTF">2017-05-17T10:26:00Z</dcterms:created>
  <dcterms:modified xsi:type="dcterms:W3CDTF">2017-05-17T10:35:00Z</dcterms:modified>
</cp:coreProperties>
</file>