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788" w:rsidRDefault="001F4788" w:rsidP="00F075A0"/>
    <w:p w:rsidR="00A80140" w:rsidRDefault="00A80140" w:rsidP="00F075A0"/>
    <w:tbl>
      <w:tblPr>
        <w:tblW w:w="9000" w:type="dxa"/>
        <w:jc w:val="center"/>
        <w:tblCellSpacing w:w="0" w:type="dxa"/>
        <w:tblCellMar>
          <w:left w:w="0" w:type="dxa"/>
          <w:right w:w="0" w:type="dxa"/>
        </w:tblCellMar>
        <w:tblLook w:val="04A0" w:firstRow="1" w:lastRow="0" w:firstColumn="1" w:lastColumn="0" w:noHBand="0" w:noVBand="1"/>
      </w:tblPr>
      <w:tblGrid>
        <w:gridCol w:w="301"/>
        <w:gridCol w:w="19"/>
        <w:gridCol w:w="8019"/>
        <w:gridCol w:w="136"/>
        <w:gridCol w:w="225"/>
        <w:gridCol w:w="300"/>
      </w:tblGrid>
      <w:tr w:rsidR="00A80140" w:rsidTr="00494110">
        <w:trPr>
          <w:trHeight w:val="300"/>
          <w:tblCellSpacing w:w="0" w:type="dxa"/>
          <w:jc w:val="center"/>
        </w:trPr>
        <w:tc>
          <w:tcPr>
            <w:tcW w:w="284" w:type="dxa"/>
            <w:shd w:val="clear" w:color="auto" w:fill="19345F"/>
            <w:vAlign w:val="center"/>
            <w:hideMark/>
          </w:tcPr>
          <w:p w:rsidR="00A80140" w:rsidRDefault="00A80140" w:rsidP="00F075A0">
            <w:r>
              <w:rPr>
                <w:noProof/>
              </w:rPr>
              <w:drawing>
                <wp:inline distT="0" distB="0" distL="0" distR="0">
                  <wp:extent cx="190500" cy="190500"/>
                  <wp:effectExtent l="0" t="0" r="0" b="0"/>
                  <wp:docPr id="45" name="Afbeelding 45" descr="http://cdn.voka.addemar.com/files/a_vokaantwerpen/data/Image/logo/sp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cdn.voka.addemar.com/files/a_vokaantwerpen/data/Image/logo/spc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8050" w:type="dxa"/>
            <w:gridSpan w:val="2"/>
            <w:shd w:val="clear" w:color="auto" w:fill="19345F"/>
            <w:vAlign w:val="center"/>
            <w:hideMark/>
          </w:tcPr>
          <w:p w:rsidR="00A80140" w:rsidRDefault="00A80140" w:rsidP="00F075A0"/>
        </w:tc>
        <w:tc>
          <w:tcPr>
            <w:tcW w:w="0" w:type="auto"/>
            <w:shd w:val="clear" w:color="auto" w:fill="19345F"/>
            <w:vAlign w:val="center"/>
            <w:hideMark/>
          </w:tcPr>
          <w:p w:rsidR="00A80140" w:rsidRDefault="00A80140" w:rsidP="00F075A0"/>
        </w:tc>
        <w:tc>
          <w:tcPr>
            <w:tcW w:w="0" w:type="auto"/>
            <w:shd w:val="clear" w:color="auto" w:fill="19345F"/>
            <w:vAlign w:val="center"/>
            <w:hideMark/>
          </w:tcPr>
          <w:p w:rsidR="00A80140" w:rsidRDefault="00A80140" w:rsidP="00F075A0"/>
        </w:tc>
        <w:tc>
          <w:tcPr>
            <w:tcW w:w="0" w:type="auto"/>
            <w:shd w:val="clear" w:color="auto" w:fill="19345F"/>
            <w:vAlign w:val="center"/>
            <w:hideMark/>
          </w:tcPr>
          <w:p w:rsidR="00A80140" w:rsidRDefault="00A80140" w:rsidP="00F075A0"/>
        </w:tc>
      </w:tr>
      <w:tr w:rsidR="00A80140" w:rsidTr="00494110">
        <w:trPr>
          <w:trHeight w:val="225"/>
          <w:tblCellSpacing w:w="0" w:type="dxa"/>
          <w:jc w:val="center"/>
        </w:trPr>
        <w:tc>
          <w:tcPr>
            <w:tcW w:w="284" w:type="dxa"/>
            <w:shd w:val="clear" w:color="auto" w:fill="19345F"/>
            <w:vAlign w:val="center"/>
            <w:hideMark/>
          </w:tcPr>
          <w:p w:rsidR="00A80140" w:rsidRDefault="00A80140" w:rsidP="00F075A0"/>
        </w:tc>
        <w:tc>
          <w:tcPr>
            <w:tcW w:w="8050" w:type="dxa"/>
            <w:gridSpan w:val="2"/>
            <w:shd w:val="clear" w:color="auto" w:fill="FFFFFF"/>
            <w:vAlign w:val="center"/>
            <w:hideMark/>
          </w:tcPr>
          <w:p w:rsidR="00A80140" w:rsidRDefault="00A80140" w:rsidP="00F075A0"/>
        </w:tc>
        <w:tc>
          <w:tcPr>
            <w:tcW w:w="0" w:type="auto"/>
            <w:shd w:val="clear" w:color="auto" w:fill="FFFFFF"/>
            <w:vAlign w:val="center"/>
            <w:hideMark/>
          </w:tcPr>
          <w:p w:rsidR="00A80140" w:rsidRDefault="00A80140" w:rsidP="00F075A0"/>
        </w:tc>
        <w:tc>
          <w:tcPr>
            <w:tcW w:w="0" w:type="auto"/>
            <w:shd w:val="clear" w:color="auto" w:fill="FFFFFF"/>
            <w:vAlign w:val="center"/>
            <w:hideMark/>
          </w:tcPr>
          <w:p w:rsidR="00A80140" w:rsidRDefault="00A80140" w:rsidP="00F075A0">
            <w:r>
              <w:rPr>
                <w:noProof/>
              </w:rPr>
              <w:drawing>
                <wp:inline distT="0" distB="0" distL="0" distR="0">
                  <wp:extent cx="142875" cy="142875"/>
                  <wp:effectExtent l="0" t="0" r="0" b="0"/>
                  <wp:docPr id="44" name="Afbeelding 44" descr="http://cdn.voka.addemar.com/files/a_vokaantwerpen/data/Image/logo/sp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cdn.voka.addemar.com/files/a_vokaantwerpen/data/Image/logo/spc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shd w:val="clear" w:color="auto" w:fill="19345F"/>
            <w:vAlign w:val="center"/>
            <w:hideMark/>
          </w:tcPr>
          <w:p w:rsidR="00A80140" w:rsidRDefault="00A80140" w:rsidP="00F075A0"/>
        </w:tc>
      </w:tr>
      <w:tr w:rsidR="00A80140" w:rsidTr="00494110">
        <w:trPr>
          <w:tblCellSpacing w:w="0" w:type="dxa"/>
          <w:jc w:val="center"/>
        </w:trPr>
        <w:tc>
          <w:tcPr>
            <w:tcW w:w="284" w:type="dxa"/>
            <w:shd w:val="clear" w:color="auto" w:fill="19345F"/>
            <w:vAlign w:val="center"/>
            <w:hideMark/>
          </w:tcPr>
          <w:p w:rsidR="00A80140" w:rsidRDefault="00A80140" w:rsidP="00F075A0"/>
        </w:tc>
        <w:tc>
          <w:tcPr>
            <w:tcW w:w="20" w:type="dxa"/>
            <w:shd w:val="clear" w:color="auto" w:fill="FFFFFF"/>
            <w:vAlign w:val="center"/>
            <w:hideMark/>
          </w:tcPr>
          <w:p w:rsidR="00A80140" w:rsidRDefault="00A80140" w:rsidP="00F075A0"/>
        </w:tc>
        <w:tc>
          <w:tcPr>
            <w:tcW w:w="8171" w:type="dxa"/>
            <w:gridSpan w:val="2"/>
            <w:shd w:val="clear" w:color="auto" w:fill="FFFFFF"/>
            <w:vAlign w:val="center"/>
            <w:hideMark/>
          </w:tcPr>
          <w:tbl>
            <w:tblPr>
              <w:tblW w:w="7950" w:type="dxa"/>
              <w:tblCellSpacing w:w="0" w:type="dxa"/>
              <w:tblCellMar>
                <w:left w:w="0" w:type="dxa"/>
                <w:right w:w="0" w:type="dxa"/>
              </w:tblCellMar>
              <w:tblLook w:val="04A0" w:firstRow="1" w:lastRow="0" w:firstColumn="1" w:lastColumn="0" w:noHBand="0" w:noVBand="1"/>
            </w:tblPr>
            <w:tblGrid>
              <w:gridCol w:w="7950"/>
            </w:tblGrid>
            <w:tr w:rsidR="00A80140">
              <w:trPr>
                <w:tblCellSpacing w:w="0" w:type="dxa"/>
              </w:trPr>
              <w:tc>
                <w:tcPr>
                  <w:tcW w:w="7950" w:type="dxa"/>
                  <w:shd w:val="clear" w:color="auto" w:fill="FFFFFF"/>
                  <w:vAlign w:val="center"/>
                  <w:hideMark/>
                </w:tcPr>
                <w:tbl>
                  <w:tblPr>
                    <w:tblW w:w="7950" w:type="dxa"/>
                    <w:tblCellSpacing w:w="0" w:type="dxa"/>
                    <w:tblCellMar>
                      <w:left w:w="0" w:type="dxa"/>
                      <w:right w:w="0" w:type="dxa"/>
                    </w:tblCellMar>
                    <w:tblLook w:val="04A0" w:firstRow="1" w:lastRow="0" w:firstColumn="1" w:lastColumn="0" w:noHBand="0" w:noVBand="1"/>
                  </w:tblPr>
                  <w:tblGrid>
                    <w:gridCol w:w="28"/>
                    <w:gridCol w:w="7922"/>
                  </w:tblGrid>
                  <w:tr w:rsidR="00A80140">
                    <w:trPr>
                      <w:tblCellSpacing w:w="0" w:type="dxa"/>
                    </w:trPr>
                    <w:tc>
                      <w:tcPr>
                        <w:tcW w:w="0" w:type="auto"/>
                        <w:hideMark/>
                      </w:tcPr>
                      <w:p w:rsidR="00A80140" w:rsidRDefault="00A80140" w:rsidP="00F075A0"/>
                    </w:tc>
                    <w:tc>
                      <w:tcPr>
                        <w:tcW w:w="0" w:type="auto"/>
                        <w:hideMark/>
                      </w:tcPr>
                      <w:p w:rsidR="00A80140" w:rsidRDefault="00A80140" w:rsidP="00675A0F">
                        <w:pPr>
                          <w:jc w:val="right"/>
                        </w:pPr>
                        <w:r>
                          <w:rPr>
                            <w:noProof/>
                          </w:rPr>
                          <w:drawing>
                            <wp:inline distT="0" distB="0" distL="0" distR="0">
                              <wp:extent cx="1000125" cy="419100"/>
                              <wp:effectExtent l="0" t="0" r="9525" b="0"/>
                              <wp:docPr id="43" name="Afbeelding 43" descr="http://cdn.voka.addemar.com/files/a_vokaantwerpen/data/Image/logo/alfap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cdn.voka.addemar.com/files/a_vokaantwerpen/data/Image/logo/alfaport.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419100"/>
                                      </a:xfrm>
                                      <a:prstGeom prst="rect">
                                        <a:avLst/>
                                      </a:prstGeom>
                                      <a:noFill/>
                                      <a:ln>
                                        <a:noFill/>
                                      </a:ln>
                                    </pic:spPr>
                                  </pic:pic>
                                </a:graphicData>
                              </a:graphic>
                            </wp:inline>
                          </w:drawing>
                        </w:r>
                      </w:p>
                    </w:tc>
                  </w:tr>
                </w:tbl>
                <w:p w:rsidR="00A80140" w:rsidRDefault="00A80140" w:rsidP="00F075A0"/>
              </w:tc>
            </w:tr>
            <w:tr w:rsidR="00A80140">
              <w:trPr>
                <w:trHeight w:val="225"/>
                <w:tblCellSpacing w:w="0" w:type="dxa"/>
              </w:trPr>
              <w:tc>
                <w:tcPr>
                  <w:tcW w:w="0" w:type="auto"/>
                  <w:shd w:val="clear" w:color="auto" w:fill="FFFFFF"/>
                  <w:vAlign w:val="center"/>
                  <w:hideMark/>
                </w:tcPr>
                <w:p w:rsidR="00A80140" w:rsidRDefault="00A80140" w:rsidP="00F075A0">
                  <w:r>
                    <w:rPr>
                      <w:noProof/>
                    </w:rPr>
                    <w:drawing>
                      <wp:inline distT="0" distB="0" distL="0" distR="0">
                        <wp:extent cx="9525" cy="142875"/>
                        <wp:effectExtent l="0" t="0" r="0" b="0"/>
                        <wp:docPr id="42" name="Afbeelding 42" descr="http://cdn.voka.addemar.com/files/a_vokaantwerpen/data/Image/logo/sp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cdn.voka.addemar.com/files/a_vokaantwerpen/data/Image/logo/spc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c>
            </w:tr>
            <w:tr w:rsidR="00A80140" w:rsidTr="00494110">
              <w:trPr>
                <w:trHeight w:val="2136"/>
                <w:tblCellSpacing w:w="0" w:type="dxa"/>
              </w:trPr>
              <w:tc>
                <w:tcPr>
                  <w:tcW w:w="0" w:type="auto"/>
                  <w:shd w:val="clear" w:color="auto" w:fill="FFFFFF"/>
                  <w:vAlign w:val="center"/>
                  <w:hideMark/>
                </w:tcPr>
                <w:tbl>
                  <w:tblPr>
                    <w:tblW w:w="7950" w:type="dxa"/>
                    <w:tblCellSpacing w:w="0" w:type="dxa"/>
                    <w:tblCellMar>
                      <w:left w:w="0" w:type="dxa"/>
                      <w:right w:w="0" w:type="dxa"/>
                    </w:tblCellMar>
                    <w:tblLook w:val="04A0" w:firstRow="1" w:lastRow="0" w:firstColumn="1" w:lastColumn="0" w:noHBand="0" w:noVBand="1"/>
                  </w:tblPr>
                  <w:tblGrid>
                    <w:gridCol w:w="7950"/>
                  </w:tblGrid>
                  <w:tr w:rsidR="00A80140">
                    <w:trPr>
                      <w:trHeight w:val="300"/>
                      <w:tblCellSpacing w:w="0" w:type="dxa"/>
                    </w:trPr>
                    <w:tc>
                      <w:tcPr>
                        <w:tcW w:w="0" w:type="auto"/>
                        <w:vAlign w:val="center"/>
                        <w:hideMark/>
                      </w:tcPr>
                      <w:p w:rsidR="00A80140" w:rsidRDefault="00A80140" w:rsidP="00F075A0"/>
                    </w:tc>
                  </w:tr>
                  <w:tr w:rsidR="00A80140">
                    <w:trPr>
                      <w:tblCellSpacing w:w="0" w:type="dxa"/>
                    </w:trPr>
                    <w:tc>
                      <w:tcPr>
                        <w:tcW w:w="0" w:type="auto"/>
                        <w:vAlign w:val="center"/>
                        <w:hideMark/>
                      </w:tcPr>
                      <w:tbl>
                        <w:tblPr>
                          <w:tblW w:w="7950" w:type="dxa"/>
                          <w:tblCellSpacing w:w="0" w:type="dxa"/>
                          <w:tblCellMar>
                            <w:left w:w="0" w:type="dxa"/>
                            <w:right w:w="0" w:type="dxa"/>
                          </w:tblCellMar>
                          <w:tblLook w:val="04A0" w:firstRow="1" w:lastRow="0" w:firstColumn="1" w:lastColumn="0" w:noHBand="0" w:noVBand="1"/>
                        </w:tblPr>
                        <w:tblGrid>
                          <w:gridCol w:w="231"/>
                          <w:gridCol w:w="7719"/>
                        </w:tblGrid>
                        <w:tr w:rsidR="00A80140">
                          <w:trPr>
                            <w:tblCellSpacing w:w="0" w:type="dxa"/>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231"/>
                              </w:tblGrid>
                              <w:tr w:rsidR="00A80140">
                                <w:trPr>
                                  <w:tblCellSpacing w:w="0" w:type="dxa"/>
                                </w:trPr>
                                <w:tc>
                                  <w:tcPr>
                                    <w:tcW w:w="0" w:type="auto"/>
                                    <w:tcMar>
                                      <w:top w:w="0" w:type="dxa"/>
                                      <w:left w:w="0" w:type="dxa"/>
                                      <w:bottom w:w="0" w:type="dxa"/>
                                      <w:right w:w="225" w:type="dxa"/>
                                    </w:tcMar>
                                    <w:vAlign w:val="center"/>
                                    <w:hideMark/>
                                  </w:tcPr>
                                  <w:p w:rsidR="00A80140" w:rsidRDefault="00A80140" w:rsidP="00F075A0"/>
                                </w:tc>
                              </w:tr>
                            </w:tbl>
                            <w:p w:rsidR="00A80140" w:rsidRDefault="00A80140" w:rsidP="00F075A0"/>
                          </w:tc>
                          <w:tc>
                            <w:tcPr>
                              <w:tcW w:w="7950" w:type="dxa"/>
                              <w:shd w:val="clear" w:color="auto" w:fill="FFFFFF"/>
                              <w:hideMark/>
                            </w:tcPr>
                            <w:p w:rsidR="00A80140" w:rsidRDefault="00A80140" w:rsidP="00F075A0">
                              <w:pPr>
                                <w:pStyle w:val="Kop1"/>
                              </w:pPr>
                              <w:r w:rsidRPr="00A80140">
                                <w:rPr>
                                  <w:rStyle w:val="Zwaar"/>
                                  <w:b/>
                                </w:rPr>
                                <w:t xml:space="preserve">PUblicaties </w:t>
                              </w:r>
                              <w:r w:rsidR="00F075A0">
                                <w:rPr>
                                  <w:rStyle w:val="Zwaar"/>
                                  <w:b/>
                                </w:rPr>
                                <w:t>EU en internationale instanties</w:t>
                              </w:r>
                            </w:p>
                          </w:tc>
                        </w:tr>
                      </w:tbl>
                      <w:p w:rsidR="00A80140" w:rsidRDefault="00A80140" w:rsidP="00F075A0"/>
                    </w:tc>
                  </w:tr>
                  <w:tr w:rsidR="00A80140">
                    <w:trPr>
                      <w:trHeight w:val="300"/>
                      <w:tblCellSpacing w:w="0" w:type="dxa"/>
                    </w:trPr>
                    <w:tc>
                      <w:tcPr>
                        <w:tcW w:w="0" w:type="auto"/>
                        <w:tcBorders>
                          <w:top w:val="nil"/>
                          <w:left w:val="nil"/>
                          <w:bottom w:val="single" w:sz="6" w:space="0" w:color="CCCCCC"/>
                          <w:right w:val="nil"/>
                        </w:tcBorders>
                        <w:vAlign w:val="center"/>
                        <w:hideMark/>
                      </w:tcPr>
                      <w:p w:rsidR="00A80140" w:rsidRDefault="00A80140" w:rsidP="00F075A0">
                        <w:r>
                          <w:rPr>
                            <w:noProof/>
                          </w:rPr>
                          <w:drawing>
                            <wp:inline distT="0" distB="0" distL="0" distR="0">
                              <wp:extent cx="9525" cy="190500"/>
                              <wp:effectExtent l="0" t="0" r="0" b="0"/>
                              <wp:docPr id="39" name="Afbeelding 39" descr="http://cdn.voka.addemar.com/files/a_vokaantwerpen/data/Image/logo/sp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cdn.voka.addemar.com/files/a_vokaantwerpen/data/Image/logo/spc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A80140">
                    <w:trPr>
                      <w:trHeight w:val="300"/>
                      <w:tblCellSpacing w:w="0" w:type="dxa"/>
                    </w:trPr>
                    <w:tc>
                      <w:tcPr>
                        <w:tcW w:w="0" w:type="auto"/>
                        <w:vAlign w:val="center"/>
                        <w:hideMark/>
                      </w:tcPr>
                      <w:p w:rsidR="00677EAA" w:rsidRPr="0081125E" w:rsidRDefault="00A80140" w:rsidP="00250F5B">
                        <w:pPr>
                          <w:pStyle w:val="Kop2"/>
                        </w:pPr>
                        <w:r>
                          <w:rPr>
                            <w:noProof/>
                          </w:rPr>
                          <w:drawing>
                            <wp:inline distT="0" distB="0" distL="0" distR="0">
                              <wp:extent cx="9525" cy="190500"/>
                              <wp:effectExtent l="0" t="0" r="0" b="0"/>
                              <wp:docPr id="38" name="Afbeelding 38" descr="http://cdn.voka.addemar.com/files/a_vokaantwerpen/data/Image/logo/sp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cdn.voka.addemar.com/files/a_vokaantwerpen/data/Image/logo/spc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00677EAA" w:rsidRPr="00677EAA">
                          <w:t xml:space="preserve"> </w:t>
                        </w:r>
                        <w:r w:rsidR="00677EAA">
                          <w:t xml:space="preserve">Bindende oorsprongsinlichtingen </w:t>
                        </w:r>
                      </w:p>
                      <w:p w:rsidR="00677EAA" w:rsidRDefault="00677EAA" w:rsidP="00250F5B">
                        <w:pPr>
                          <w:rPr>
                            <w:lang w:eastAsia="nl-NL"/>
                          </w:rPr>
                        </w:pPr>
                        <w:r>
                          <w:rPr>
                            <w:lang w:eastAsia="nl-NL"/>
                          </w:rPr>
                          <w:t xml:space="preserve">In het publicatieblad C 29 (dd.  28/01/2017) werd de lijst gepubliceerd met een overzicht van de autoriteiten die in de lidstaten aangewezen zijn voor het in ontvangst nemen van aanvragen voor of voor het verstrekken van bindende oorsprongsinlichtingen. </w:t>
                        </w:r>
                      </w:p>
                      <w:p w:rsidR="00677EAA" w:rsidRPr="00675A0F" w:rsidRDefault="00675A0F" w:rsidP="007649A8">
                        <w:pPr>
                          <w:pStyle w:val="Geenafstand"/>
                          <w:ind w:left="147"/>
                          <w:rPr>
                            <w:rStyle w:val="Hyperlink"/>
                            <w:lang w:val="nl-BE"/>
                          </w:rPr>
                        </w:pPr>
                        <w:hyperlink r:id="rId7" w:history="1">
                          <w:r w:rsidR="00677EAA" w:rsidRPr="002E2F58">
                            <w:rPr>
                              <w:rStyle w:val="Hyperlink"/>
                              <w:rFonts w:ascii="Verdana" w:hAnsi="Verdana"/>
                              <w:sz w:val="16"/>
                              <w:szCs w:val="16"/>
                              <w:lang w:val="nl-BE"/>
                            </w:rPr>
                            <w:t>http://eur-lex.europa.eu/legal-content/NL/TXT/PDF/?uri=CELEX:52017XC0128(05)</w:t>
                          </w:r>
                        </w:hyperlink>
                      </w:p>
                      <w:p w:rsidR="00250F5B" w:rsidRDefault="00250F5B" w:rsidP="00250F5B">
                        <w:pPr>
                          <w:pStyle w:val="Kop2"/>
                        </w:pPr>
                      </w:p>
                      <w:p w:rsidR="00677EAA" w:rsidRPr="00B207B4" w:rsidRDefault="00677EAA" w:rsidP="00250F5B">
                        <w:pPr>
                          <w:pStyle w:val="Kop2"/>
                        </w:pPr>
                        <w:r w:rsidRPr="00B207B4">
                          <w:t xml:space="preserve">Indelingsverordeningen </w:t>
                        </w:r>
                      </w:p>
                      <w:p w:rsidR="00677EAA" w:rsidRPr="00105DA2" w:rsidRDefault="00677EAA" w:rsidP="00250F5B">
                        <w:r w:rsidRPr="00105DA2">
                          <w:rPr>
                            <w:lang w:eastAsia="nl-NL"/>
                          </w:rPr>
                          <w:t xml:space="preserve">Indeling </w:t>
                        </w:r>
                        <w:proofErr w:type="spellStart"/>
                        <w:r w:rsidRPr="00105DA2">
                          <w:rPr>
                            <w:lang w:eastAsia="nl-NL"/>
                          </w:rPr>
                          <w:t>cartrigde</w:t>
                        </w:r>
                        <w:proofErr w:type="spellEnd"/>
                        <w:r w:rsidRPr="00105DA2">
                          <w:rPr>
                            <w:lang w:eastAsia="nl-NL"/>
                          </w:rPr>
                          <w:t xml:space="preserve"> vloeistof e-sigaret GN code 8504 4090 (PB L91 dd. 05.04.2017) </w:t>
                        </w:r>
                      </w:p>
                      <w:p w:rsidR="00677EAA" w:rsidRDefault="00675A0F" w:rsidP="00677EAA">
                        <w:pPr>
                          <w:pStyle w:val="Geenafstand"/>
                          <w:ind w:left="147"/>
                          <w:rPr>
                            <w:rFonts w:ascii="Verdana" w:hAnsi="Verdana"/>
                            <w:sz w:val="16"/>
                            <w:szCs w:val="16"/>
                            <w:lang w:val="nl-BE"/>
                          </w:rPr>
                        </w:pPr>
                        <w:hyperlink w:history="1"/>
                        <w:hyperlink r:id="rId8" w:history="1">
                          <w:r w:rsidR="00677EAA" w:rsidRPr="002012FE">
                            <w:rPr>
                              <w:rStyle w:val="Hyperlink"/>
                              <w:rFonts w:ascii="Verdana" w:hAnsi="Verdana"/>
                              <w:sz w:val="16"/>
                              <w:szCs w:val="16"/>
                              <w:lang w:val="nl-BE"/>
                            </w:rPr>
                            <w:t>http://eur-lex.europa.eu/legal-content/NL/TXT/PDF/?uri=CELEX:32017R0635&amp;from=NL</w:t>
                          </w:r>
                        </w:hyperlink>
                      </w:p>
                      <w:p w:rsidR="00677EAA" w:rsidRDefault="00677EAA" w:rsidP="007649A8"/>
                      <w:p w:rsidR="00677EAA" w:rsidRDefault="00677EAA" w:rsidP="007649A8">
                        <w:pPr>
                          <w:rPr>
                            <w:lang w:eastAsia="nl-NL"/>
                          </w:rPr>
                        </w:pPr>
                        <w:r w:rsidRPr="00105DA2">
                          <w:rPr>
                            <w:lang w:eastAsia="nl-NL"/>
                          </w:rPr>
                          <w:t xml:space="preserve">Indeling </w:t>
                        </w:r>
                        <w:r>
                          <w:rPr>
                            <w:lang w:eastAsia="nl-NL"/>
                          </w:rPr>
                          <w:t>vergrendelingsmechanisme veiligheidsgordels</w:t>
                        </w:r>
                        <w:r w:rsidRPr="00105DA2">
                          <w:rPr>
                            <w:lang w:eastAsia="nl-NL"/>
                          </w:rPr>
                          <w:t xml:space="preserve"> GN code </w:t>
                        </w:r>
                        <w:r>
                          <w:rPr>
                            <w:lang w:eastAsia="nl-NL"/>
                          </w:rPr>
                          <w:t>8308 9000</w:t>
                        </w:r>
                        <w:r w:rsidRPr="00105DA2">
                          <w:rPr>
                            <w:lang w:eastAsia="nl-NL"/>
                          </w:rPr>
                          <w:t xml:space="preserve"> (PB L91 dd. 05.04.2017</w:t>
                        </w:r>
                        <w:r>
                          <w:rPr>
                            <w:lang w:eastAsia="nl-NL"/>
                          </w:rPr>
                          <w:t>)</w:t>
                        </w:r>
                      </w:p>
                      <w:p w:rsidR="00677EAA" w:rsidRDefault="00675A0F" w:rsidP="00677EAA">
                        <w:pPr>
                          <w:pStyle w:val="Geenafstand"/>
                          <w:ind w:left="147"/>
                          <w:rPr>
                            <w:rFonts w:ascii="Verdana" w:hAnsi="Verdana"/>
                            <w:sz w:val="16"/>
                            <w:szCs w:val="16"/>
                            <w:lang w:val="nl-BE"/>
                          </w:rPr>
                        </w:pPr>
                        <w:hyperlink r:id="rId9" w:history="1">
                          <w:r w:rsidR="00677EAA" w:rsidRPr="002012FE">
                            <w:rPr>
                              <w:rStyle w:val="Hyperlink"/>
                              <w:rFonts w:ascii="Verdana" w:hAnsi="Verdana"/>
                              <w:sz w:val="16"/>
                              <w:szCs w:val="16"/>
                              <w:lang w:val="nl-BE"/>
                            </w:rPr>
                            <w:t>http://eur-lex.europa.eu/legal-content/NL/TXT/PDF/?uri=CELEX:32017R0636&amp;from=NL</w:t>
                          </w:r>
                        </w:hyperlink>
                      </w:p>
                      <w:p w:rsidR="00677EAA" w:rsidRDefault="00677EAA" w:rsidP="00677EAA">
                        <w:pPr>
                          <w:pStyle w:val="Geenafstand"/>
                          <w:ind w:left="147"/>
                          <w:rPr>
                            <w:rFonts w:ascii="Verdana" w:hAnsi="Verdana"/>
                            <w:sz w:val="16"/>
                            <w:szCs w:val="16"/>
                            <w:lang w:val="nl-BE"/>
                          </w:rPr>
                        </w:pPr>
                      </w:p>
                      <w:p w:rsidR="007649A8" w:rsidRDefault="007649A8" w:rsidP="00250F5B">
                        <w:pPr>
                          <w:pStyle w:val="Kop2"/>
                        </w:pPr>
                      </w:p>
                      <w:p w:rsidR="00677EAA" w:rsidRPr="0081125E" w:rsidRDefault="00677EAA" w:rsidP="00250F5B">
                        <w:pPr>
                          <w:pStyle w:val="Kop2"/>
                        </w:pPr>
                        <w:r>
                          <w:t xml:space="preserve">Wijziging Europese toelichting GN code </w:t>
                        </w:r>
                        <w:r w:rsidRPr="008E7AC1">
                          <w:t>2103 90 90</w:t>
                        </w:r>
                      </w:p>
                      <w:p w:rsidR="00677EAA" w:rsidRDefault="00677EAA" w:rsidP="007649A8">
                        <w:pPr>
                          <w:rPr>
                            <w:sz w:val="16"/>
                            <w:szCs w:val="16"/>
                          </w:rPr>
                        </w:pPr>
                        <w:r>
                          <w:rPr>
                            <w:lang w:eastAsia="nl-NL"/>
                          </w:rPr>
                          <w:t xml:space="preserve">In het publicatieblad C 92 (dd.  24/03/2017) werd de wijziging van de EU toelichting op GN code 21039090 gepubliceerd. </w:t>
                        </w:r>
                      </w:p>
                      <w:p w:rsidR="00677EAA" w:rsidRDefault="00675A0F" w:rsidP="00677EAA">
                        <w:pPr>
                          <w:pStyle w:val="Geenafstand"/>
                          <w:ind w:left="147"/>
                          <w:rPr>
                            <w:rFonts w:ascii="Verdana" w:hAnsi="Verdana"/>
                            <w:sz w:val="16"/>
                            <w:szCs w:val="16"/>
                            <w:lang w:val="nl-BE"/>
                          </w:rPr>
                        </w:pPr>
                        <w:hyperlink r:id="rId10" w:history="1">
                          <w:r w:rsidR="00677EAA" w:rsidRPr="009C72EA">
                            <w:rPr>
                              <w:rStyle w:val="Hyperlink"/>
                              <w:rFonts w:ascii="Verdana" w:hAnsi="Verdana"/>
                              <w:sz w:val="16"/>
                              <w:szCs w:val="16"/>
                              <w:lang w:val="nl-BE"/>
                            </w:rPr>
                            <w:t>http://eur-lex.europa.eu/legal-content/NL/TXT/PDF/?uri=CELEX:52017XC0324(01)&amp;from=NL</w:t>
                          </w:r>
                        </w:hyperlink>
                      </w:p>
                      <w:p w:rsidR="00677EAA" w:rsidRDefault="00677EAA" w:rsidP="007649A8">
                        <w:pPr>
                          <w:pStyle w:val="Kop2"/>
                        </w:pPr>
                      </w:p>
                      <w:p w:rsidR="00677EAA" w:rsidRPr="0081125E" w:rsidRDefault="00677EAA" w:rsidP="00250F5B">
                        <w:pPr>
                          <w:pStyle w:val="Kop2"/>
                        </w:pPr>
                        <w:r>
                          <w:t xml:space="preserve">Wijziging GN codes in Hoofdstuk 19 </w:t>
                        </w:r>
                      </w:p>
                      <w:p w:rsidR="00677EAA" w:rsidRDefault="00677EAA" w:rsidP="007649A8">
                        <w:pPr>
                          <w:rPr>
                            <w:lang w:eastAsia="nl-NL"/>
                          </w:rPr>
                        </w:pPr>
                        <w:r>
                          <w:rPr>
                            <w:lang w:eastAsia="nl-NL"/>
                          </w:rPr>
                          <w:t>In het publicatieblad L104 (dd.  20.04.2017) werden een aantal goederencodes van hoofd</w:t>
                        </w:r>
                        <w:r w:rsidR="007649A8">
                          <w:rPr>
                            <w:lang w:eastAsia="nl-NL"/>
                          </w:rPr>
                          <w:t>s</w:t>
                        </w:r>
                        <w:r>
                          <w:rPr>
                            <w:lang w:eastAsia="nl-NL"/>
                          </w:rPr>
                          <w:t xml:space="preserve">tuk 19 gewijzigd.   </w:t>
                        </w:r>
                      </w:p>
                      <w:p w:rsidR="00677EAA" w:rsidRDefault="00675A0F" w:rsidP="00677EAA">
                        <w:pPr>
                          <w:pStyle w:val="Geenafstand"/>
                          <w:ind w:left="147"/>
                          <w:rPr>
                            <w:rFonts w:ascii="Verdana" w:hAnsi="Verdana"/>
                            <w:sz w:val="16"/>
                            <w:szCs w:val="16"/>
                            <w:lang w:val="nl-BE"/>
                          </w:rPr>
                        </w:pPr>
                        <w:hyperlink r:id="rId11" w:history="1">
                          <w:r w:rsidR="00677EAA" w:rsidRPr="00951377">
                            <w:rPr>
                              <w:rStyle w:val="Hyperlink"/>
                              <w:rFonts w:ascii="Verdana" w:hAnsi="Verdana"/>
                              <w:sz w:val="16"/>
                              <w:szCs w:val="16"/>
                              <w:lang w:val="nl-BE"/>
                            </w:rPr>
                            <w:t>http://eur-lex.europa.eu/legal-content/NL/TXT/PDF/?uri=CELEX:32017R0705&amp;from=NL</w:t>
                          </w:r>
                        </w:hyperlink>
                      </w:p>
                      <w:p w:rsidR="00677EAA" w:rsidRDefault="00677EAA" w:rsidP="007649A8">
                        <w:pPr>
                          <w:pStyle w:val="Kop2"/>
                        </w:pPr>
                        <w:r>
                          <w:t xml:space="preserve"> </w:t>
                        </w:r>
                      </w:p>
                      <w:p w:rsidR="00677EAA" w:rsidRDefault="00677EAA" w:rsidP="00677EAA">
                        <w:pPr>
                          <w:pStyle w:val="Kop2"/>
                          <w:rPr>
                            <w:sz w:val="16"/>
                            <w:szCs w:val="16"/>
                          </w:rPr>
                        </w:pPr>
                        <w:r>
                          <w:t>Antidumping en compenserende rechten</w:t>
                        </w:r>
                      </w:p>
                      <w:p w:rsidR="00677EAA" w:rsidRDefault="00677EAA" w:rsidP="00677EAA">
                        <w:r>
                          <w:t>I</w:t>
                        </w:r>
                        <w:r w:rsidRPr="000C15A6">
                          <w:t>nstelling van definitieve compenserende rechten op fotovoltaïsche modules van kristallijn silicium en de belangrijkste componenten daarvan (cellen) van oorsprong uit of verzonden uit de Volksrepubliek China naar aanleiding van een nieuw onderzoek bij het vervallen van de maatregelen in de zin van artikel 18, lid 2, van Verordening (EU) 2016/1037 van het Europees Parlement en de Raad en tot beëindiging van het gedeeltelijke tussentijdse nieuwe onderzoek in de zin van artikel 19, lid 3, van Verordening (EU) 2016/1037</w:t>
                        </w:r>
                        <w:r>
                          <w:t xml:space="preserve"> (PB L56 </w:t>
                        </w:r>
                        <w:proofErr w:type="spellStart"/>
                        <w:r>
                          <w:t>dd</w:t>
                        </w:r>
                        <w:proofErr w:type="spellEnd"/>
                        <w:r>
                          <w:t>; 03.03.2017)</w:t>
                        </w:r>
                      </w:p>
                      <w:p w:rsidR="00677EAA" w:rsidRDefault="00675A0F" w:rsidP="00677EAA">
                        <w:pPr>
                          <w:pStyle w:val="Geenafstand"/>
                          <w:ind w:left="147"/>
                          <w:rPr>
                            <w:rFonts w:ascii="Verdana" w:hAnsi="Verdana"/>
                            <w:sz w:val="16"/>
                            <w:szCs w:val="16"/>
                            <w:lang w:val="nl-BE"/>
                          </w:rPr>
                        </w:pPr>
                        <w:hyperlink r:id="rId12" w:history="1">
                          <w:r w:rsidR="00677EAA" w:rsidRPr="00A57673">
                            <w:rPr>
                              <w:rStyle w:val="Hyperlink"/>
                              <w:rFonts w:ascii="Verdana" w:hAnsi="Verdana"/>
                              <w:sz w:val="16"/>
                              <w:szCs w:val="16"/>
                              <w:lang w:val="nl-BE"/>
                            </w:rPr>
                            <w:t>http://eur-lex.europa.eu/legal-content/NL/TXT/PDF/?uri=CELEX:32017R0366&amp;from=NL</w:t>
                          </w:r>
                        </w:hyperlink>
                      </w:p>
                      <w:p w:rsidR="00677EAA" w:rsidRDefault="00677EAA" w:rsidP="00677EAA"/>
                      <w:p w:rsidR="00677EAA" w:rsidRDefault="00675A0F" w:rsidP="00677EAA">
                        <w:r>
                          <w:t>I</w:t>
                        </w:r>
                        <w:r w:rsidR="00677EAA" w:rsidRPr="004C1CC4">
                          <w:t xml:space="preserve">nstelling van een definitief antidumpingrecht op fotovoltaïsche modules van kristallijn silicium en de belangrijkste componenten daarvan (cellen) van oorsprong uit of verzonden uit de Volksrepubliek </w:t>
                        </w:r>
                        <w:proofErr w:type="spellStart"/>
                        <w:r w:rsidR="00677EAA" w:rsidRPr="004C1CC4">
                          <w:t>Chinnaar</w:t>
                        </w:r>
                        <w:proofErr w:type="spellEnd"/>
                        <w:r w:rsidR="00677EAA" w:rsidRPr="004C1CC4">
                          <w:t xml:space="preserve"> aanleiding van een nieuw onderzoek in de zin van artikel 11, lid 2, van Verordening (EU) 2016/1036 van het Europees Parlement en de Raad en tot beëindiging van het gedeeltelijke tussentijdse nieuwe onderzoek in de zin van artikel 11, lid 3, van Verordening (EU) 2016/1036</w:t>
                        </w:r>
                        <w:r w:rsidR="00677EAA">
                          <w:t xml:space="preserve"> (PB L56 dd.</w:t>
                        </w:r>
                        <w:r w:rsidR="00677EAA" w:rsidRPr="004C1CC4">
                          <w:t xml:space="preserve"> 03.03.2017)</w:t>
                        </w:r>
                      </w:p>
                      <w:p w:rsidR="00677EAA" w:rsidRDefault="00675A0F" w:rsidP="00677EAA">
                        <w:pPr>
                          <w:pStyle w:val="Geenafstand"/>
                          <w:ind w:left="147"/>
                          <w:rPr>
                            <w:rFonts w:ascii="Verdana" w:hAnsi="Verdana"/>
                            <w:sz w:val="16"/>
                            <w:szCs w:val="16"/>
                            <w:lang w:val="nl-BE"/>
                          </w:rPr>
                        </w:pPr>
                        <w:hyperlink r:id="rId13" w:history="1">
                          <w:r w:rsidR="00677EAA" w:rsidRPr="00AA7196">
                            <w:rPr>
                              <w:rStyle w:val="Hyperlink"/>
                              <w:rFonts w:ascii="Verdana" w:hAnsi="Verdana"/>
                              <w:sz w:val="16"/>
                              <w:szCs w:val="16"/>
                              <w:lang w:val="nl-BE"/>
                            </w:rPr>
                            <w:t>http://eur-lex.europa.eu/legal-content/NL/TXT/PDF/?uri=CELEX:32017R0367&amp;from=NL</w:t>
                          </w:r>
                        </w:hyperlink>
                      </w:p>
                      <w:p w:rsidR="00677EAA" w:rsidRDefault="00677EAA" w:rsidP="00677EAA"/>
                      <w:p w:rsidR="00677EAA" w:rsidRDefault="00677EAA" w:rsidP="00677EAA">
                        <w:r w:rsidRPr="00815398">
                          <w:t>Bericht van het naderend vervallen van bepaalde antidumpingmaatregelen</w:t>
                        </w:r>
                        <w:r>
                          <w:t xml:space="preserve"> (PB C72 dd. 08.03.2017)</w:t>
                        </w:r>
                      </w:p>
                      <w:p w:rsidR="00677EAA" w:rsidRDefault="00675A0F" w:rsidP="00677EAA">
                        <w:pPr>
                          <w:pStyle w:val="Geenafstand"/>
                          <w:ind w:left="147"/>
                          <w:rPr>
                            <w:rFonts w:ascii="Verdana" w:hAnsi="Verdana"/>
                            <w:sz w:val="16"/>
                            <w:szCs w:val="16"/>
                            <w:lang w:val="nl-BE"/>
                          </w:rPr>
                        </w:pPr>
                        <w:hyperlink r:id="rId14" w:history="1">
                          <w:r w:rsidR="00677EAA" w:rsidRPr="00F06A6C">
                            <w:rPr>
                              <w:rStyle w:val="Hyperlink"/>
                              <w:rFonts w:ascii="Verdana" w:hAnsi="Verdana"/>
                              <w:sz w:val="16"/>
                              <w:szCs w:val="16"/>
                              <w:lang w:val="nl-BE"/>
                            </w:rPr>
                            <w:t>http://eur-lex.europa.eu/legal-content/NL/TXT/PDF/?uri=CELEX:52017XC0308(02)&amp;from=NL</w:t>
                          </w:r>
                        </w:hyperlink>
                      </w:p>
                      <w:p w:rsidR="00677EAA" w:rsidRDefault="00677EAA" w:rsidP="00677EAA"/>
                      <w:p w:rsidR="00677EAA" w:rsidRDefault="00677EAA" w:rsidP="00677EAA">
                        <w:r>
                          <w:t>I</w:t>
                        </w:r>
                        <w:r w:rsidRPr="00A14003">
                          <w:t>nstelling van een definitief compenserend recht op bepaalde grafietelektrodesystemen van oorsprong uit India naar aanleiding van een nieuw onderzoek in verband met het vervallen van de maatregelen op grond van artikel 18 van Verordening (EU) 2016/1037 van het Europees Parlement en de Raad</w:t>
                        </w:r>
                        <w:r>
                          <w:t xml:space="preserve"> (PB L64 dd. 10.03.2017)</w:t>
                        </w:r>
                      </w:p>
                      <w:p w:rsidR="00677EAA" w:rsidRDefault="00675A0F" w:rsidP="00677EAA">
                        <w:pPr>
                          <w:pStyle w:val="Geenafstand"/>
                          <w:ind w:left="147"/>
                          <w:rPr>
                            <w:rFonts w:ascii="Verdana" w:hAnsi="Verdana"/>
                            <w:sz w:val="16"/>
                            <w:szCs w:val="16"/>
                            <w:lang w:val="nl-BE"/>
                          </w:rPr>
                        </w:pPr>
                        <w:hyperlink r:id="rId15" w:history="1">
                          <w:r w:rsidR="00677EAA" w:rsidRPr="00D20216">
                            <w:rPr>
                              <w:rStyle w:val="Hyperlink"/>
                              <w:rFonts w:ascii="Verdana" w:hAnsi="Verdana"/>
                              <w:sz w:val="16"/>
                              <w:szCs w:val="16"/>
                              <w:lang w:val="nl-BE"/>
                            </w:rPr>
                            <w:t>http://eur-lex.europa.eu/legal-content/NL/TXT/PDF/?uri=CELEX:32017R0421&amp;from=NL</w:t>
                          </w:r>
                        </w:hyperlink>
                      </w:p>
                      <w:p w:rsidR="00677EAA" w:rsidRDefault="00677EAA" w:rsidP="00677EAA"/>
                      <w:p w:rsidR="00677EAA" w:rsidRDefault="00677EAA" w:rsidP="00677EAA">
                        <w:r>
                          <w:t>I</w:t>
                        </w:r>
                        <w:r w:rsidRPr="00E072D0">
                          <w:t>nstelling van een definitief antidumpingrecht op bepaalde grafietelektrodesystemen van oorsprong uit India naar aanleiding van een nieuw onderzoek in verband met het vervallen van de maatregelen op grond van artikel 11, lid 2, van Verordening (EU) 2016/1036 van het Europees Parlement en de Raad</w:t>
                        </w:r>
                        <w:r>
                          <w:t xml:space="preserve"> (PB L64 dd. 10.03.2017)</w:t>
                        </w:r>
                      </w:p>
                      <w:p w:rsidR="00677EAA" w:rsidRDefault="00675A0F" w:rsidP="00677EAA">
                        <w:pPr>
                          <w:pStyle w:val="Geenafstand"/>
                          <w:ind w:left="147"/>
                          <w:rPr>
                            <w:rFonts w:ascii="Verdana" w:hAnsi="Verdana"/>
                            <w:sz w:val="16"/>
                            <w:szCs w:val="16"/>
                            <w:lang w:val="nl-BE"/>
                          </w:rPr>
                        </w:pPr>
                        <w:hyperlink r:id="rId16" w:history="1">
                          <w:r w:rsidR="00677EAA" w:rsidRPr="00D20216">
                            <w:rPr>
                              <w:rStyle w:val="Hyperlink"/>
                              <w:rFonts w:ascii="Verdana" w:hAnsi="Verdana"/>
                              <w:sz w:val="16"/>
                              <w:szCs w:val="16"/>
                              <w:lang w:val="nl-BE"/>
                            </w:rPr>
                            <w:t>http://eur-lex.europa.eu/legal-content/NL/TXT/PDF/?uri=CELEX:32017R0422&amp;from=NL</w:t>
                          </w:r>
                        </w:hyperlink>
                      </w:p>
                      <w:p w:rsidR="00677EAA" w:rsidRDefault="00677EAA" w:rsidP="00677EAA"/>
                      <w:p w:rsidR="00677EAA" w:rsidRDefault="00677EAA" w:rsidP="00677EAA">
                        <w:r>
                          <w:t>H</w:t>
                        </w:r>
                        <w:r w:rsidRPr="00787CF3">
                          <w:t xml:space="preserve">et opnieuw instellen van een definitief antidumpingrecht en tot definitieve inning van het voorlopige recht op bepaald schoeisel met bovendeel van leder van oorsprong uit de Volksrepubliek China en Vietnam en geproduceerd door </w:t>
                        </w:r>
                        <w:proofErr w:type="spellStart"/>
                        <w:r w:rsidRPr="00787CF3">
                          <w:t>Fujian</w:t>
                        </w:r>
                        <w:proofErr w:type="spellEnd"/>
                        <w:r w:rsidRPr="00787CF3">
                          <w:t xml:space="preserve"> </w:t>
                        </w:r>
                        <w:proofErr w:type="spellStart"/>
                        <w:r w:rsidRPr="00787CF3">
                          <w:t>Viscap</w:t>
                        </w:r>
                        <w:proofErr w:type="spellEnd"/>
                        <w:r w:rsidRPr="00787CF3">
                          <w:t xml:space="preserve"> Shoes </w:t>
                        </w:r>
                        <w:proofErr w:type="spellStart"/>
                        <w:r w:rsidRPr="00787CF3">
                          <w:t>Co.</w:t>
                        </w:r>
                        <w:proofErr w:type="spellEnd"/>
                        <w:r w:rsidRPr="00787CF3">
                          <w:t xml:space="preserve"> </w:t>
                        </w:r>
                        <w:r w:rsidRPr="00290279">
                          <w:rPr>
                            <w:lang w:val="en-US"/>
                          </w:rPr>
                          <w:t xml:space="preserve">Ltd, Vietnam Ching </w:t>
                        </w:r>
                        <w:proofErr w:type="spellStart"/>
                        <w:r w:rsidRPr="00290279">
                          <w:rPr>
                            <w:lang w:val="en-US"/>
                          </w:rPr>
                          <w:t>Luh</w:t>
                        </w:r>
                        <w:proofErr w:type="spellEnd"/>
                        <w:r w:rsidRPr="00290279">
                          <w:rPr>
                            <w:lang w:val="en-US"/>
                          </w:rPr>
                          <w:t xml:space="preserve"> Shoes Co. Ltd, </w:t>
                        </w:r>
                        <w:proofErr w:type="spellStart"/>
                        <w:r w:rsidRPr="00290279">
                          <w:rPr>
                            <w:lang w:val="en-US"/>
                          </w:rPr>
                          <w:t>Vinh</w:t>
                        </w:r>
                        <w:proofErr w:type="spellEnd"/>
                        <w:r w:rsidRPr="00290279">
                          <w:rPr>
                            <w:lang w:val="en-US"/>
                          </w:rPr>
                          <w:t xml:space="preserve"> Thong Producing-Trading-Service Co. Ltd, Qingdao Tae Kwang Shoes Co. Ltd, </w:t>
                        </w:r>
                        <w:proofErr w:type="spellStart"/>
                        <w:r w:rsidRPr="00290279">
                          <w:rPr>
                            <w:lang w:val="en-US"/>
                          </w:rPr>
                          <w:t>Maystar</w:t>
                        </w:r>
                        <w:proofErr w:type="spellEnd"/>
                        <w:r w:rsidRPr="00290279">
                          <w:rPr>
                            <w:lang w:val="en-US"/>
                          </w:rPr>
                          <w:t xml:space="preserve"> Footwear Co. Ltd, Lien Phat Company Ltd, Qingdao </w:t>
                        </w:r>
                        <w:proofErr w:type="spellStart"/>
                        <w:r w:rsidRPr="00290279">
                          <w:rPr>
                            <w:lang w:val="en-US"/>
                          </w:rPr>
                          <w:t>Sewon</w:t>
                        </w:r>
                        <w:proofErr w:type="spellEnd"/>
                        <w:r w:rsidRPr="00290279">
                          <w:rPr>
                            <w:lang w:val="en-US"/>
                          </w:rPr>
                          <w:t xml:space="preserve"> Shoes Co. Ltd, </w:t>
                        </w:r>
                        <w:proofErr w:type="spellStart"/>
                        <w:r w:rsidRPr="00290279">
                          <w:rPr>
                            <w:lang w:val="en-US"/>
                          </w:rPr>
                          <w:t>Panyu</w:t>
                        </w:r>
                        <w:proofErr w:type="spellEnd"/>
                        <w:r w:rsidRPr="00290279">
                          <w:rPr>
                            <w:lang w:val="en-US"/>
                          </w:rPr>
                          <w:t xml:space="preserve"> Pegasus Footwear Co. Ltd, </w:t>
                        </w:r>
                        <w:proofErr w:type="spellStart"/>
                        <w:r w:rsidRPr="00290279">
                          <w:rPr>
                            <w:lang w:val="en-US"/>
                          </w:rPr>
                          <w:t>PanYu</w:t>
                        </w:r>
                        <w:proofErr w:type="spellEnd"/>
                        <w:r w:rsidRPr="00290279">
                          <w:rPr>
                            <w:lang w:val="en-US"/>
                          </w:rPr>
                          <w:t xml:space="preserve"> Leader Footwear Corporation, </w:t>
                        </w:r>
                        <w:proofErr w:type="spellStart"/>
                        <w:r w:rsidRPr="00290279">
                          <w:rPr>
                            <w:lang w:val="en-US"/>
                          </w:rPr>
                          <w:t>Panyu</w:t>
                        </w:r>
                        <w:proofErr w:type="spellEnd"/>
                        <w:r w:rsidRPr="00290279">
                          <w:rPr>
                            <w:lang w:val="en-US"/>
                          </w:rPr>
                          <w:t xml:space="preserve"> Hsieh Da Rubber Co. Ltd, An </w:t>
                        </w:r>
                        <w:proofErr w:type="spellStart"/>
                        <w:r w:rsidRPr="00290279">
                          <w:rPr>
                            <w:lang w:val="en-US"/>
                          </w:rPr>
                          <w:t>Loc</w:t>
                        </w:r>
                        <w:proofErr w:type="spellEnd"/>
                        <w:r w:rsidRPr="00290279">
                          <w:rPr>
                            <w:lang w:val="en-US"/>
                          </w:rPr>
                          <w:t xml:space="preserve"> Joint Stock Company, Qingdao </w:t>
                        </w:r>
                        <w:proofErr w:type="spellStart"/>
                        <w:r w:rsidRPr="00290279">
                          <w:rPr>
                            <w:lang w:val="en-US"/>
                          </w:rPr>
                          <w:t>Changshin</w:t>
                        </w:r>
                        <w:proofErr w:type="spellEnd"/>
                        <w:r w:rsidRPr="00290279">
                          <w:rPr>
                            <w:lang w:val="en-US"/>
                          </w:rPr>
                          <w:t xml:space="preserve"> Shoes Company Limited, Chang Shin Vietnam Co. Ltd, Samyang Vietnam Co. Ltd, Qingdao </w:t>
                        </w:r>
                        <w:proofErr w:type="spellStart"/>
                        <w:r w:rsidRPr="00290279">
                          <w:rPr>
                            <w:lang w:val="en-US"/>
                          </w:rPr>
                          <w:t>Samho</w:t>
                        </w:r>
                        <w:proofErr w:type="spellEnd"/>
                        <w:r w:rsidRPr="00290279">
                          <w:rPr>
                            <w:lang w:val="en-US"/>
                          </w:rPr>
                          <w:t xml:space="preserve"> Shoes Co. Ltd, Min Yuan, Chau </w:t>
                        </w:r>
                        <w:proofErr w:type="spellStart"/>
                        <w:r w:rsidRPr="00290279">
                          <w:rPr>
                            <w:lang w:val="en-US"/>
                          </w:rPr>
                          <w:t>Giang</w:t>
                        </w:r>
                        <w:proofErr w:type="spellEnd"/>
                        <w:r w:rsidRPr="00290279">
                          <w:rPr>
                            <w:lang w:val="en-US"/>
                          </w:rPr>
                          <w:t xml:space="preserve"> Company Limited, Foshan </w:t>
                        </w:r>
                        <w:proofErr w:type="spellStart"/>
                        <w:r w:rsidRPr="00290279">
                          <w:rPr>
                            <w:lang w:val="en-US"/>
                          </w:rPr>
                          <w:t>Shunde</w:t>
                        </w:r>
                        <w:proofErr w:type="spellEnd"/>
                        <w:r w:rsidRPr="00290279">
                          <w:rPr>
                            <w:lang w:val="en-US"/>
                          </w:rPr>
                          <w:t xml:space="preserve"> Fong Ben Footwear Industrial Co. </w:t>
                        </w:r>
                        <w:proofErr w:type="spellStart"/>
                        <w:r w:rsidRPr="00787CF3">
                          <w:t>Ltd</w:t>
                        </w:r>
                        <w:proofErr w:type="spellEnd"/>
                        <w:r w:rsidRPr="00787CF3">
                          <w:t xml:space="preserve"> en </w:t>
                        </w:r>
                        <w:proofErr w:type="spellStart"/>
                        <w:r w:rsidRPr="00787CF3">
                          <w:t>Dongguan</w:t>
                        </w:r>
                        <w:proofErr w:type="spellEnd"/>
                        <w:r w:rsidRPr="00787CF3">
                          <w:t xml:space="preserve"> Texas Shoes Limited </w:t>
                        </w:r>
                        <w:proofErr w:type="spellStart"/>
                        <w:r w:rsidRPr="00787CF3">
                          <w:t>Co.</w:t>
                        </w:r>
                        <w:proofErr w:type="spellEnd"/>
                        <w:r w:rsidRPr="00787CF3">
                          <w:t>, ter uitvoering van het arrest van het Hof van Justitie in de gevoegde zaken C-6</w:t>
                        </w:r>
                        <w:r>
                          <w:t xml:space="preserve">59/13 en C-34/14 </w:t>
                        </w:r>
                        <w:r w:rsidRPr="00787CF3">
                          <w:t>(PB L64 dd. 10.03.2017)</w:t>
                        </w:r>
                      </w:p>
                      <w:p w:rsidR="00677EAA" w:rsidRDefault="00675A0F" w:rsidP="00677EAA">
                        <w:pPr>
                          <w:pStyle w:val="Geenafstand"/>
                          <w:ind w:left="147"/>
                          <w:rPr>
                            <w:rFonts w:ascii="Verdana" w:hAnsi="Verdana"/>
                            <w:sz w:val="16"/>
                            <w:szCs w:val="16"/>
                            <w:lang w:val="nl-BE"/>
                          </w:rPr>
                        </w:pPr>
                        <w:hyperlink r:id="rId17" w:history="1">
                          <w:r w:rsidR="00677EAA" w:rsidRPr="00D20216">
                            <w:rPr>
                              <w:rStyle w:val="Hyperlink"/>
                              <w:rFonts w:ascii="Verdana" w:hAnsi="Verdana"/>
                              <w:sz w:val="16"/>
                              <w:szCs w:val="16"/>
                              <w:lang w:val="nl-BE"/>
                            </w:rPr>
                            <w:t>http://eur-lex.europa.eu/legal-content/NL/TXT/PDF/?uri=CELEX:32017R0423&amp;from=NL</w:t>
                          </w:r>
                        </w:hyperlink>
                      </w:p>
                      <w:p w:rsidR="00677EAA" w:rsidRDefault="00677EAA" w:rsidP="00677EAA"/>
                      <w:p w:rsidR="00677EAA" w:rsidRDefault="00677EAA" w:rsidP="00677EAA">
                        <w:r>
                          <w:t>I</w:t>
                        </w:r>
                        <w:r w:rsidRPr="001673A7">
                          <w:t xml:space="preserve">ntrekking van de aanvaarding van de verbintenis voor vier producenten-exporteurs op grond van Uitvoeringsbesluit 2013/707/EU tot bevestiging van de aanvaarding van een verbintenis die is aangeboden in het kader van de antidumping- en de </w:t>
                        </w:r>
                        <w:proofErr w:type="spellStart"/>
                        <w:r w:rsidRPr="001673A7">
                          <w:t>antisubsidieprocedure</w:t>
                        </w:r>
                        <w:proofErr w:type="spellEnd"/>
                        <w:r w:rsidRPr="001673A7">
                          <w:t xml:space="preserve"> betreffende de invoer van fotovoltaïsche modules van kristallijn silicium en de belangrijkste componenten daarvan (cellen) van oorsprong uit of verzonden uit de Volksrepubliek China voor de periode waarin de definitieve maatregelen worden toegepast</w:t>
                        </w:r>
                        <w:r>
                          <w:t xml:space="preserve"> (PB L71 dd. 16.03.2017)</w:t>
                        </w:r>
                      </w:p>
                      <w:p w:rsidR="00677EAA" w:rsidRDefault="00675A0F" w:rsidP="00677EAA">
                        <w:pPr>
                          <w:pStyle w:val="Geenafstand"/>
                          <w:ind w:left="147"/>
                          <w:rPr>
                            <w:rFonts w:ascii="Verdana" w:hAnsi="Verdana"/>
                            <w:sz w:val="16"/>
                            <w:szCs w:val="16"/>
                            <w:lang w:val="nl-BE"/>
                          </w:rPr>
                        </w:pPr>
                        <w:hyperlink r:id="rId18" w:history="1">
                          <w:r w:rsidR="00677EAA" w:rsidRPr="007D7E7D">
                            <w:rPr>
                              <w:rStyle w:val="Hyperlink"/>
                              <w:rFonts w:ascii="Verdana" w:hAnsi="Verdana"/>
                              <w:sz w:val="16"/>
                              <w:szCs w:val="16"/>
                              <w:lang w:val="nl-BE"/>
                            </w:rPr>
                            <w:t>http://eur-lex.europa.eu/legal-content/NL/TXT/PDF/?uri=CELEX:32017R0454&amp;from=NL</w:t>
                          </w:r>
                        </w:hyperlink>
                      </w:p>
                      <w:p w:rsidR="00677EAA" w:rsidRDefault="00677EAA" w:rsidP="00677EAA"/>
                      <w:p w:rsidR="00677EAA" w:rsidRDefault="00677EAA" w:rsidP="00677EAA">
                        <w:r>
                          <w:t>I</w:t>
                        </w:r>
                        <w:r w:rsidRPr="003F486E">
                          <w:t xml:space="preserve">nstelling van een definitief antidumpingrecht op multiplex van </w:t>
                        </w:r>
                        <w:proofErr w:type="spellStart"/>
                        <w:r w:rsidRPr="003F486E">
                          <w:t>okouméhout</w:t>
                        </w:r>
                        <w:proofErr w:type="spellEnd"/>
                        <w:r w:rsidRPr="003F486E">
                          <w:t xml:space="preserve"> van oorsprong uit de Volksrepubliek China naar aanleiding van een nieuw onderzoek bij het vervallen van de maatregelen op grond van artikel 11, lid 2, van Verordening (EU) 2016/1036 van het Europees Parlement en de Raad</w:t>
                        </w:r>
                        <w:r>
                          <w:t xml:space="preserve"> (PB L92 dd. 06.04.2017)</w:t>
                        </w:r>
                      </w:p>
                      <w:p w:rsidR="00677EAA" w:rsidRDefault="00675A0F" w:rsidP="00677EAA">
                        <w:pPr>
                          <w:pStyle w:val="Geenafstand"/>
                          <w:ind w:left="147"/>
                          <w:rPr>
                            <w:rFonts w:ascii="Verdana" w:hAnsi="Verdana"/>
                            <w:sz w:val="16"/>
                            <w:szCs w:val="16"/>
                            <w:lang w:val="nl-BE"/>
                          </w:rPr>
                        </w:pPr>
                        <w:hyperlink r:id="rId19" w:history="1">
                          <w:r w:rsidR="00677EAA" w:rsidRPr="009B57DA">
                            <w:rPr>
                              <w:rStyle w:val="Hyperlink"/>
                              <w:rFonts w:ascii="Verdana" w:hAnsi="Verdana"/>
                              <w:sz w:val="16"/>
                              <w:szCs w:val="16"/>
                              <w:lang w:val="nl-BE"/>
                            </w:rPr>
                            <w:t>http://eur-lex.europa.eu/legal-content/NL/TXT/PDF/?uri=CELEX:32017R0648&amp;from=NL</w:t>
                          </w:r>
                        </w:hyperlink>
                      </w:p>
                      <w:p w:rsidR="00677EAA" w:rsidRDefault="00677EAA" w:rsidP="00677EAA"/>
                      <w:p w:rsidR="00677EAA" w:rsidRDefault="00677EAA" w:rsidP="00677EAA">
                        <w:r>
                          <w:t>I</w:t>
                        </w:r>
                        <w:r w:rsidRPr="00AE0288">
                          <w:t>nstelling van een definitief antidumpingrecht op bepaalde warmgewalste platte producten van ijzer, van niet-gelegeerd staal of van ander gelegeerd staal van oorsprong uit de Volksrepubliek China</w:t>
                        </w:r>
                        <w:r>
                          <w:t xml:space="preserve"> (PB L92 dd. 06.04.2017)</w:t>
                        </w:r>
                      </w:p>
                      <w:p w:rsidR="00677EAA" w:rsidRDefault="00675A0F" w:rsidP="00677EAA">
                        <w:pPr>
                          <w:pStyle w:val="Geenafstand"/>
                          <w:ind w:left="147"/>
                          <w:rPr>
                            <w:rFonts w:ascii="Verdana" w:hAnsi="Verdana"/>
                            <w:sz w:val="16"/>
                            <w:szCs w:val="16"/>
                            <w:lang w:val="nl-BE"/>
                          </w:rPr>
                        </w:pPr>
                        <w:hyperlink r:id="rId20" w:history="1">
                          <w:r w:rsidR="00677EAA" w:rsidRPr="009B57DA">
                            <w:rPr>
                              <w:rStyle w:val="Hyperlink"/>
                              <w:rFonts w:ascii="Verdana" w:hAnsi="Verdana"/>
                              <w:sz w:val="16"/>
                              <w:szCs w:val="16"/>
                              <w:lang w:val="nl-BE"/>
                            </w:rPr>
                            <w:t>http://eur-lex.europa.eu/legal-content/NL/TXT/PDF/?uri=CELEX:32017R0649&amp;from=NL</w:t>
                          </w:r>
                        </w:hyperlink>
                      </w:p>
                      <w:p w:rsidR="00677EAA" w:rsidRDefault="00677EAA" w:rsidP="00677EAA"/>
                      <w:p w:rsidR="00677EAA" w:rsidRDefault="00677EAA" w:rsidP="00677EAA">
                        <w:r>
                          <w:t>W</w:t>
                        </w:r>
                        <w:r w:rsidRPr="00751C84">
                          <w:t>ijziging van Uitvoeringsverordening (EU) 2017/141 tot instelling van definitieve antidumpingrechten op bepaalde roestvrijstalen hulpstukken voor buisleidingen, door stomplassen te bevestigen, al dan niet afgewerkt, van oorsprong uit de Volksrepubliek China en Taiwan</w:t>
                        </w:r>
                        <w:r>
                          <w:t xml:space="preserve"> (PB L94 dd. 07.04.2017)</w:t>
                        </w:r>
                      </w:p>
                      <w:p w:rsidR="00677EAA" w:rsidRDefault="00675A0F" w:rsidP="00677EAA">
                        <w:pPr>
                          <w:pStyle w:val="Geenafstand"/>
                          <w:ind w:left="147"/>
                          <w:rPr>
                            <w:rFonts w:ascii="Verdana" w:hAnsi="Verdana"/>
                            <w:sz w:val="16"/>
                            <w:szCs w:val="16"/>
                            <w:lang w:val="nl-BE"/>
                          </w:rPr>
                        </w:pPr>
                        <w:hyperlink r:id="rId21" w:history="1">
                          <w:r w:rsidR="00677EAA" w:rsidRPr="00E3747F">
                            <w:rPr>
                              <w:rStyle w:val="Hyperlink"/>
                              <w:rFonts w:ascii="Verdana" w:hAnsi="Verdana"/>
                              <w:sz w:val="16"/>
                              <w:szCs w:val="16"/>
                              <w:lang w:val="nl-BE"/>
                            </w:rPr>
                            <w:t>http://eur-lex.europa.eu/legal-content/NL/TXT/PDF/?uri=CELEX:32017R0659&amp;from=NL</w:t>
                          </w:r>
                        </w:hyperlink>
                      </w:p>
                      <w:p w:rsidR="00677EAA" w:rsidRDefault="00677EAA" w:rsidP="00677EAA"/>
                      <w:p w:rsidR="00677EAA" w:rsidRDefault="00677EAA" w:rsidP="00677EAA">
                        <w:r>
                          <w:t>O</w:t>
                        </w:r>
                        <w:r w:rsidRPr="007942BD">
                          <w:t xml:space="preserve">nderwerping van de invoer van rijwielen verzonden uit Sri Lanka, al dan niet aangegeven als van oorsprong uit Sri Lanka, aan registratie, voor zover die invoer betrekking heeft op de onderneming City </w:t>
                        </w:r>
                        <w:proofErr w:type="spellStart"/>
                        <w:r w:rsidRPr="007942BD">
                          <w:t>Cycle</w:t>
                        </w:r>
                        <w:proofErr w:type="spellEnd"/>
                        <w:r w:rsidRPr="007942BD">
                          <w:t xml:space="preserve"> Industries in Sri Lanka</w:t>
                        </w:r>
                        <w:r>
                          <w:t xml:space="preserve"> (PB L98 dd. 11.04.2017)</w:t>
                        </w:r>
                      </w:p>
                      <w:p w:rsidR="00677EAA" w:rsidRDefault="00675A0F" w:rsidP="00677EAA">
                        <w:pPr>
                          <w:pStyle w:val="Geenafstand"/>
                          <w:ind w:left="147"/>
                          <w:rPr>
                            <w:rFonts w:ascii="Verdana" w:hAnsi="Verdana"/>
                            <w:sz w:val="16"/>
                            <w:szCs w:val="16"/>
                            <w:lang w:val="nl-BE"/>
                          </w:rPr>
                        </w:pPr>
                        <w:hyperlink r:id="rId22" w:history="1">
                          <w:r w:rsidR="00677EAA" w:rsidRPr="006C290C">
                            <w:rPr>
                              <w:rStyle w:val="Hyperlink"/>
                              <w:rFonts w:ascii="Verdana" w:hAnsi="Verdana"/>
                              <w:sz w:val="16"/>
                              <w:szCs w:val="16"/>
                              <w:lang w:val="nl-BE"/>
                            </w:rPr>
                            <w:t>http://eur-lex.europa.eu/legal-content/NL/TXT/PDF/?uri=CELEX:32017R0678&amp;from=NL</w:t>
                          </w:r>
                        </w:hyperlink>
                      </w:p>
                      <w:p w:rsidR="00677EAA" w:rsidRDefault="00677EAA" w:rsidP="00677EAA"/>
                      <w:p w:rsidR="00677EAA" w:rsidRDefault="00677EAA" w:rsidP="00677EAA">
                        <w:r>
                          <w:t>B</w:t>
                        </w:r>
                        <w:r w:rsidRPr="00C24AAD">
                          <w:t>eëindiging van het nieuwe onderzoek naar absorptie van rechten in verband met de invoer van koudgewalste platte producten van roestvrij staal van oorsprong uit Taiwan zonder wijziging van de geldende maatregelen</w:t>
                        </w:r>
                        <w:r>
                          <w:t xml:space="preserve"> (PB L98 dd. 11.04.2017)</w:t>
                        </w:r>
                      </w:p>
                      <w:p w:rsidR="00677EAA" w:rsidRDefault="00675A0F" w:rsidP="00677EAA">
                        <w:pPr>
                          <w:pStyle w:val="Geenafstand"/>
                          <w:ind w:left="147"/>
                          <w:rPr>
                            <w:rFonts w:ascii="Verdana" w:hAnsi="Verdana"/>
                            <w:sz w:val="16"/>
                            <w:szCs w:val="16"/>
                            <w:lang w:val="nl-BE"/>
                          </w:rPr>
                        </w:pPr>
                        <w:hyperlink r:id="rId23" w:history="1">
                          <w:r w:rsidR="00677EAA" w:rsidRPr="006C290C">
                            <w:rPr>
                              <w:rStyle w:val="Hyperlink"/>
                              <w:rFonts w:ascii="Verdana" w:hAnsi="Verdana"/>
                              <w:sz w:val="16"/>
                              <w:szCs w:val="16"/>
                              <w:lang w:val="nl-BE"/>
                            </w:rPr>
                            <w:t>http://eur-lex.europa.eu/legal-content/NL/TXT/PDF/?uri=CELEX:32017R0679&amp;from=NL</w:t>
                          </w:r>
                        </w:hyperlink>
                      </w:p>
                      <w:p w:rsidR="00677EAA" w:rsidRDefault="00677EAA" w:rsidP="00677EAA"/>
                      <w:p w:rsidR="00677EAA" w:rsidRDefault="00677EAA" w:rsidP="00677EAA">
                        <w:r w:rsidRPr="00652145">
                          <w:t xml:space="preserve">Bericht betreffende het arrest van het Gerecht van 19 maart 2015 in zaak T-413/13, City </w:t>
                        </w:r>
                        <w:proofErr w:type="spellStart"/>
                        <w:r w:rsidRPr="00652145">
                          <w:t>Cycle</w:t>
                        </w:r>
                        <w:proofErr w:type="spellEnd"/>
                        <w:r w:rsidRPr="00652145">
                          <w:t xml:space="preserve"> Industries/Raad van de Europese Unie en het arrest van het Hof van Justitie van 26 januari 2017 in de zaken C-248/15 P, C-254/15 P en C-260/15 P in verband met Uitvoeringsverordening (EU) nr. 501/2013 van de Raad tot uitbreiding van het definitieve antidumpingrecht dat bij Uitvoeringsverordening (EU) nr. 990/2011 is ingesteld op de invoer van rijwielen van oorsprong uit de Volksrepubliek China tot de invoer van rijwielen verzonden uit Indonesië, Maleisië, Sri Lanka en Tunesië, al dan niet aangegeven als van oorsprong uit Indonesië, Maleisië, Sri Lanka en Tunesië</w:t>
                        </w:r>
                        <w:r>
                          <w:t xml:space="preserve"> (PB C113 dd.11.04.2017)</w:t>
                        </w:r>
                      </w:p>
                      <w:p w:rsidR="00677EAA" w:rsidRDefault="00675A0F" w:rsidP="00677EAA">
                        <w:pPr>
                          <w:pStyle w:val="Geenafstand"/>
                          <w:ind w:left="147"/>
                          <w:rPr>
                            <w:rFonts w:ascii="Verdana" w:hAnsi="Verdana"/>
                            <w:sz w:val="16"/>
                            <w:szCs w:val="16"/>
                            <w:lang w:val="nl-BE"/>
                          </w:rPr>
                        </w:pPr>
                        <w:hyperlink r:id="rId24" w:history="1">
                          <w:r w:rsidR="00677EAA" w:rsidRPr="006C290C">
                            <w:rPr>
                              <w:rStyle w:val="Hyperlink"/>
                              <w:rFonts w:ascii="Verdana" w:hAnsi="Verdana"/>
                              <w:sz w:val="16"/>
                              <w:szCs w:val="16"/>
                              <w:lang w:val="nl-BE"/>
                            </w:rPr>
                            <w:t>http://eur-lex.europa.eu/legal-content/NL/TXT/PDF/?uri=CELEX:52017XC0411(01)&amp;from=NL</w:t>
                          </w:r>
                        </w:hyperlink>
                      </w:p>
                      <w:p w:rsidR="00677EAA" w:rsidRDefault="00677EAA" w:rsidP="00677EAA"/>
                      <w:p w:rsidR="00677EAA" w:rsidRDefault="00677EAA" w:rsidP="00677EAA">
                        <w:r w:rsidRPr="00454E41">
                          <w:t>Bericht van opening van een gedeeltelijk tussentijds nieuw onderzoek van de antidumpingmaatregelen die van toepassing zijn op de invoer van keuken- en tafelgerei van keramische stoffen van oorsprong uit de Volksrepubliek China</w:t>
                        </w:r>
                        <w:r>
                          <w:t xml:space="preserve"> (PB C117 dd. 12.04.2017)</w:t>
                        </w:r>
                      </w:p>
                      <w:p w:rsidR="00677EAA" w:rsidRDefault="00675A0F" w:rsidP="00677EAA">
                        <w:pPr>
                          <w:pStyle w:val="Geenafstand"/>
                          <w:ind w:left="147"/>
                          <w:rPr>
                            <w:rFonts w:ascii="Verdana" w:hAnsi="Verdana"/>
                            <w:sz w:val="16"/>
                            <w:szCs w:val="16"/>
                            <w:lang w:val="nl-BE"/>
                          </w:rPr>
                        </w:pPr>
                        <w:hyperlink r:id="rId25" w:history="1">
                          <w:r w:rsidR="00677EAA" w:rsidRPr="00807F6B">
                            <w:rPr>
                              <w:rStyle w:val="Hyperlink"/>
                              <w:rFonts w:ascii="Verdana" w:hAnsi="Verdana"/>
                              <w:sz w:val="16"/>
                              <w:szCs w:val="16"/>
                              <w:lang w:val="nl-BE"/>
                            </w:rPr>
                            <w:t>http://eur-lex.europa.eu/legal-content/NL/TXT/PDF/?uri=CELEX:52017XC0412(02)&amp;from=NL</w:t>
                          </w:r>
                        </w:hyperlink>
                      </w:p>
                      <w:p w:rsidR="00677EAA" w:rsidRDefault="00677EAA" w:rsidP="00677EAA"/>
                      <w:p w:rsidR="00677EAA" w:rsidRDefault="00677EAA" w:rsidP="00677EAA">
                        <w:r w:rsidRPr="005D69E9">
                          <w:t>Bericht van opening van een nieuw onderzoek in verband met het vervallen van de antidumpingmaatregelen die van toepassing zijn op de invoer van oxaalzuur van oorsprong uit India en de Volksrepubliek China</w:t>
                        </w:r>
                        <w:r>
                          <w:t xml:space="preserve"> (PB C117 dd. 12.04.2017)</w:t>
                        </w:r>
                      </w:p>
                      <w:p w:rsidR="00677EAA" w:rsidRDefault="00675A0F" w:rsidP="00677EAA">
                        <w:pPr>
                          <w:pStyle w:val="Geenafstand"/>
                          <w:ind w:left="147"/>
                          <w:rPr>
                            <w:rFonts w:ascii="Verdana" w:hAnsi="Verdana"/>
                            <w:sz w:val="16"/>
                            <w:szCs w:val="16"/>
                            <w:lang w:val="nl-BE"/>
                          </w:rPr>
                        </w:pPr>
                        <w:hyperlink r:id="rId26" w:history="1">
                          <w:r w:rsidR="00677EAA" w:rsidRPr="00807F6B">
                            <w:rPr>
                              <w:rStyle w:val="Hyperlink"/>
                              <w:rFonts w:ascii="Verdana" w:hAnsi="Verdana"/>
                              <w:sz w:val="16"/>
                              <w:szCs w:val="16"/>
                              <w:lang w:val="nl-BE"/>
                            </w:rPr>
                            <w:t>http://eur-lex.europa.eu/legal-content/NL/TXT/PDF/?uri=CELEX:52017XC0412(03)&amp;from=NL</w:t>
                          </w:r>
                        </w:hyperlink>
                      </w:p>
                      <w:p w:rsidR="00677EAA" w:rsidRDefault="00677EAA" w:rsidP="00677EAA"/>
                      <w:p w:rsidR="00677EAA" w:rsidRDefault="00677EAA" w:rsidP="00677EAA">
                        <w:r w:rsidRPr="00D23C23">
                          <w:t>Bericht betreffende de antidumpingmaatregelen die van toepassing zijn op de invoer in de Unie van stalen kabels van oorsprong uit onder meer de Volksrepubliek China, zoals uitgebreid tot stalen kabels verzonden uit onder meer de Republiek Korea en al dan niet aangegeven als van oorsprong uit dat land</w:t>
                        </w:r>
                        <w:r>
                          <w:t xml:space="preserve"> (PB C122 dd. 19.04.2017)</w:t>
                        </w:r>
                      </w:p>
                      <w:p w:rsidR="00677EAA" w:rsidRDefault="00675A0F" w:rsidP="00677EAA">
                        <w:pPr>
                          <w:pStyle w:val="Geenafstand"/>
                          <w:ind w:left="147"/>
                          <w:rPr>
                            <w:rFonts w:ascii="Verdana" w:hAnsi="Verdana"/>
                            <w:sz w:val="16"/>
                            <w:szCs w:val="16"/>
                            <w:lang w:val="nl-BE"/>
                          </w:rPr>
                        </w:pPr>
                        <w:hyperlink r:id="rId27" w:history="1">
                          <w:r w:rsidR="00677EAA" w:rsidRPr="00951377">
                            <w:rPr>
                              <w:rStyle w:val="Hyperlink"/>
                              <w:rFonts w:ascii="Verdana" w:hAnsi="Verdana"/>
                              <w:sz w:val="16"/>
                              <w:szCs w:val="16"/>
                              <w:lang w:val="nl-BE"/>
                            </w:rPr>
                            <w:t>http://eur-lex.europa.eu/legal-content/NL/TXT/PDF/?uri=CELEX:52017XC0419(01)&amp;from=NL</w:t>
                          </w:r>
                        </w:hyperlink>
                      </w:p>
                      <w:p w:rsidR="00677EAA" w:rsidRDefault="00677EAA" w:rsidP="00677EAA"/>
                      <w:p w:rsidR="00677EAA" w:rsidRDefault="00677EAA" w:rsidP="00677EAA">
                        <w:r w:rsidRPr="00D23C23">
                          <w:t>Bericht van opening van een nieuw onderzoek in verband met het vervallen van de antidumpingmaatregelen die van toepassing zijn op de invoer van wijnsteenzuur van oorsprong uit de Volksrepubliek China</w:t>
                        </w:r>
                      </w:p>
                      <w:p w:rsidR="00677EAA" w:rsidRDefault="00675A0F" w:rsidP="00677EAA">
                        <w:pPr>
                          <w:pStyle w:val="Geenafstand"/>
                          <w:ind w:left="147"/>
                          <w:rPr>
                            <w:rFonts w:ascii="Verdana" w:hAnsi="Verdana"/>
                            <w:sz w:val="16"/>
                            <w:szCs w:val="16"/>
                            <w:lang w:val="nl-BE"/>
                          </w:rPr>
                        </w:pPr>
                        <w:hyperlink r:id="rId28" w:history="1">
                          <w:r w:rsidR="00677EAA" w:rsidRPr="00951377">
                            <w:rPr>
                              <w:rStyle w:val="Hyperlink"/>
                              <w:rFonts w:ascii="Verdana" w:hAnsi="Verdana"/>
                              <w:sz w:val="16"/>
                              <w:szCs w:val="16"/>
                              <w:lang w:val="nl-BE"/>
                            </w:rPr>
                            <w:t>http://eur-lex.europa.eu/legal-content/NL/TXT/PDF/?uri=CELEX:52017XC0419(02)&amp;from=NL</w:t>
                          </w:r>
                        </w:hyperlink>
                      </w:p>
                      <w:p w:rsidR="00677EAA" w:rsidRDefault="00677EAA" w:rsidP="00677EAA"/>
                      <w:p w:rsidR="00677EAA" w:rsidRDefault="00677EAA" w:rsidP="00677EAA">
                        <w:r>
                          <w:t>I</w:t>
                        </w:r>
                        <w:r w:rsidRPr="008B7AAD">
                          <w:t>nstelling van een definitief antidumpingrecht en tot definitieve inning van het voorlopige recht op bepaald licht thermisch papier van oorsprong uit de Republiek Korea</w:t>
                        </w:r>
                        <w:r>
                          <w:t xml:space="preserve"> (PB L114 dd. 03.05.2017)</w:t>
                        </w:r>
                      </w:p>
                      <w:p w:rsidR="00677EAA" w:rsidRDefault="00675A0F" w:rsidP="00677EAA">
                        <w:pPr>
                          <w:pStyle w:val="Geenafstand"/>
                          <w:ind w:left="147"/>
                          <w:rPr>
                            <w:rFonts w:ascii="Verdana" w:hAnsi="Verdana"/>
                            <w:sz w:val="16"/>
                            <w:szCs w:val="16"/>
                            <w:lang w:val="nl-BE"/>
                          </w:rPr>
                        </w:pPr>
                        <w:hyperlink r:id="rId29" w:history="1">
                          <w:r w:rsidR="00677EAA" w:rsidRPr="00B43876">
                            <w:rPr>
                              <w:rStyle w:val="Hyperlink"/>
                              <w:rFonts w:ascii="Verdana" w:hAnsi="Verdana"/>
                              <w:sz w:val="16"/>
                              <w:szCs w:val="16"/>
                              <w:lang w:val="nl-BE"/>
                            </w:rPr>
                            <w:t>http://eur-lex.europa.eu/legal-content/NL/TXT/PDF/?uri=CELEX:32017R0763&amp;from=NL</w:t>
                          </w:r>
                        </w:hyperlink>
                      </w:p>
                      <w:p w:rsidR="00677EAA" w:rsidRDefault="00677EAA" w:rsidP="00677EAA"/>
                      <w:p w:rsidR="00677EAA" w:rsidRDefault="00677EAA" w:rsidP="00677EAA">
                        <w:r>
                          <w:t>O</w:t>
                        </w:r>
                        <w:r w:rsidRPr="000004B1">
                          <w:t>pening van een nieuw onderzoek ten aanzien van Uitvoeringsverordening (EU) nr. 501/2013 van de Raad (tot uitbreiding van het definitieve antidumpingrecht op rijwielen van oorsprong uit de Volksrepubliek China tot uit Indonesië, Maleisië, Sri Lanka en Tunesië verzonden rijwielen, al dan niet aangegeven als van oorsprong uit Indonesië, Maleisië, Sri Lanka en Tunesië) met het oog op de vaststelling of één Tunesische producent-exporteur van die maatregelen kan worden vrijgesteld, of het antidumpingrecht ten aanzien van de invoer afkomstig van die producent- exporteur kan worden ingetrokken en of die invoer moet worden geregistreerd</w:t>
                        </w:r>
                        <w:r>
                          <w:t xml:space="preserve"> (PB L116 dd. 05.05.2017)</w:t>
                        </w:r>
                      </w:p>
                      <w:p w:rsidR="00677EAA" w:rsidRDefault="00675A0F" w:rsidP="00677EAA">
                        <w:pPr>
                          <w:pStyle w:val="Geenafstand"/>
                          <w:ind w:left="147"/>
                          <w:rPr>
                            <w:rFonts w:ascii="Verdana" w:hAnsi="Verdana"/>
                            <w:sz w:val="16"/>
                            <w:szCs w:val="16"/>
                            <w:lang w:val="nl-BE"/>
                          </w:rPr>
                        </w:pPr>
                        <w:hyperlink r:id="rId30" w:history="1">
                          <w:r w:rsidR="00677EAA" w:rsidRPr="00B43876">
                            <w:rPr>
                              <w:rStyle w:val="Hyperlink"/>
                              <w:rFonts w:ascii="Verdana" w:hAnsi="Verdana"/>
                              <w:sz w:val="16"/>
                              <w:szCs w:val="16"/>
                              <w:lang w:val="nl-BE"/>
                            </w:rPr>
                            <w:t>http://eur-lex.europa.eu/legal-content/NL/TXT/PDF/?uri=CELEX:32017R0777&amp;from=NL</w:t>
                          </w:r>
                        </w:hyperlink>
                      </w:p>
                      <w:p w:rsidR="00677EAA" w:rsidRDefault="00677EAA" w:rsidP="00677EAA"/>
                      <w:p w:rsidR="00677EAA" w:rsidRDefault="00677EAA" w:rsidP="00677EAA">
                        <w:r w:rsidRPr="00000F22">
                          <w:t>Bericht van het naderend vervallen van bepaalde antidumpingmaatregelen</w:t>
                        </w:r>
                        <w:hyperlink r:id="rId31" w:history="1"/>
                        <w:r>
                          <w:t xml:space="preserve"> (PB C146 dd. 11.05.2017)</w:t>
                        </w:r>
                      </w:p>
                      <w:p w:rsidR="00677EAA" w:rsidRDefault="00675A0F" w:rsidP="00677EAA">
                        <w:pPr>
                          <w:pStyle w:val="Geenafstand"/>
                          <w:ind w:left="147"/>
                          <w:rPr>
                            <w:rFonts w:ascii="Verdana" w:hAnsi="Verdana"/>
                            <w:sz w:val="16"/>
                            <w:szCs w:val="16"/>
                            <w:lang w:val="nl-BE"/>
                          </w:rPr>
                        </w:pPr>
                        <w:hyperlink r:id="rId32" w:history="1">
                          <w:r w:rsidR="00677EAA" w:rsidRPr="0000172C">
                            <w:rPr>
                              <w:rStyle w:val="Hyperlink"/>
                              <w:rFonts w:ascii="Verdana" w:hAnsi="Verdana"/>
                              <w:sz w:val="16"/>
                              <w:szCs w:val="16"/>
                              <w:lang w:val="nl-BE"/>
                            </w:rPr>
                            <w:t>http://eur-lex.europa.eu/legal-content/NL/TXT/PDF/?uri=OJ:JOC_2017_146_R_0009&amp;from=NL</w:t>
                          </w:r>
                        </w:hyperlink>
                      </w:p>
                      <w:p w:rsidR="00677EAA" w:rsidRDefault="00677EAA" w:rsidP="00677EAA"/>
                      <w:p w:rsidR="00677EAA" w:rsidRDefault="00677EAA" w:rsidP="00677EAA">
                        <w:r>
                          <w:t>I</w:t>
                        </w:r>
                        <w:r w:rsidRPr="00CF3FBE">
                          <w:t>nstelling van een definitief antidumpingrecht op bepaalde naadloze buizen en pijpen, van ijzer (ander dan gietijzer) of van staal (ander dan roestvrij staal), met een rond profiel, met een uitwendige diameter van meer dan 406,4 mm, van oorsprong uit de Volksrepubliek China</w:t>
                        </w:r>
                        <w:r>
                          <w:t xml:space="preserve"> (PB L121 dd. 12.05.2017)</w:t>
                        </w:r>
                      </w:p>
                      <w:p w:rsidR="00677EAA" w:rsidRDefault="00675A0F" w:rsidP="00677EAA">
                        <w:pPr>
                          <w:pStyle w:val="Geenafstand"/>
                          <w:ind w:left="147"/>
                          <w:rPr>
                            <w:rFonts w:ascii="Verdana" w:hAnsi="Verdana"/>
                            <w:sz w:val="16"/>
                            <w:szCs w:val="16"/>
                            <w:lang w:val="nl-BE"/>
                          </w:rPr>
                        </w:pPr>
                        <w:hyperlink r:id="rId33" w:history="1">
                          <w:r w:rsidR="00677EAA" w:rsidRPr="00482793">
                            <w:rPr>
                              <w:rStyle w:val="Hyperlink"/>
                              <w:rFonts w:ascii="Verdana" w:hAnsi="Verdana"/>
                              <w:sz w:val="16"/>
                              <w:szCs w:val="16"/>
                              <w:lang w:val="nl-BE"/>
                            </w:rPr>
                            <w:t>http://eur-lex.europa.eu/legal-content/NL/TXT/PDF/?uri=CELEX:32017R0804&amp;from=NL</w:t>
                          </w:r>
                        </w:hyperlink>
                      </w:p>
                      <w:p w:rsidR="00677EAA" w:rsidRDefault="00677EAA" w:rsidP="00677EAA">
                        <w:pPr>
                          <w:pStyle w:val="Kop2"/>
                        </w:pPr>
                      </w:p>
                      <w:p w:rsidR="00677EAA" w:rsidRPr="0081125E" w:rsidRDefault="00677EAA" w:rsidP="00677EAA">
                        <w:pPr>
                          <w:pStyle w:val="Kop2"/>
                        </w:pPr>
                        <w:r>
                          <w:t>WCO News n° 82 – februari 2017</w:t>
                        </w:r>
                      </w:p>
                      <w:p w:rsidR="00677EAA" w:rsidRDefault="00677EAA" w:rsidP="00677EAA">
                        <w:pPr>
                          <w:rPr>
                            <w:sz w:val="16"/>
                            <w:szCs w:val="16"/>
                          </w:rPr>
                        </w:pPr>
                        <w:r>
                          <w:rPr>
                            <w:lang w:eastAsia="nl-NL"/>
                          </w:rPr>
                          <w:t xml:space="preserve">Op de website van de World </w:t>
                        </w:r>
                        <w:proofErr w:type="spellStart"/>
                        <w:r>
                          <w:rPr>
                            <w:lang w:eastAsia="nl-NL"/>
                          </w:rPr>
                          <w:t>Customs</w:t>
                        </w:r>
                        <w:proofErr w:type="spellEnd"/>
                        <w:r>
                          <w:rPr>
                            <w:lang w:eastAsia="nl-NL"/>
                          </w:rPr>
                          <w:t xml:space="preserve"> </w:t>
                        </w:r>
                        <w:proofErr w:type="spellStart"/>
                        <w:r>
                          <w:rPr>
                            <w:lang w:eastAsia="nl-NL"/>
                          </w:rPr>
                          <w:t>Organization</w:t>
                        </w:r>
                        <w:proofErr w:type="spellEnd"/>
                        <w:r>
                          <w:rPr>
                            <w:lang w:eastAsia="nl-NL"/>
                          </w:rPr>
                          <w:t xml:space="preserve"> werd het periodiek tijdschrift WCO News n° 82 gepubliceerd met onder meer een aantal bijdragen over data-analyse. </w:t>
                        </w:r>
                      </w:p>
                      <w:p w:rsidR="00677EAA" w:rsidRDefault="00675A0F" w:rsidP="00677EAA">
                        <w:pPr>
                          <w:pStyle w:val="Geenafstand"/>
                          <w:ind w:left="147"/>
                          <w:rPr>
                            <w:rFonts w:ascii="Verdana" w:hAnsi="Verdana"/>
                            <w:sz w:val="16"/>
                            <w:szCs w:val="16"/>
                            <w:lang w:val="nl-BE"/>
                          </w:rPr>
                        </w:pPr>
                        <w:hyperlink r:id="rId34" w:history="1">
                          <w:r w:rsidR="00677EAA" w:rsidRPr="00BE66EB">
                            <w:rPr>
                              <w:rStyle w:val="Hyperlink"/>
                              <w:rFonts w:ascii="Verdana" w:hAnsi="Verdana"/>
                              <w:sz w:val="16"/>
                              <w:szCs w:val="16"/>
                              <w:lang w:val="nl-BE"/>
                            </w:rPr>
                            <w:t>http://www.wcoomd.org/en/media/wco-news-magazine/latest.aspx</w:t>
                          </w:r>
                        </w:hyperlink>
                      </w:p>
                      <w:p w:rsidR="00677EAA" w:rsidRDefault="00677EAA" w:rsidP="00677EAA">
                        <w:pPr>
                          <w:pStyle w:val="Kop2"/>
                        </w:pPr>
                      </w:p>
                      <w:p w:rsidR="00677EAA" w:rsidRPr="0081125E" w:rsidRDefault="00677EAA" w:rsidP="00677EAA">
                        <w:pPr>
                          <w:pStyle w:val="Kop2"/>
                        </w:pPr>
                        <w:r>
                          <w:t>WCO studie over E-commerce</w:t>
                        </w:r>
                      </w:p>
                      <w:p w:rsidR="00677EAA" w:rsidRDefault="00677EAA" w:rsidP="00677EAA">
                        <w:pPr>
                          <w:rPr>
                            <w:sz w:val="16"/>
                            <w:szCs w:val="16"/>
                          </w:rPr>
                        </w:pPr>
                        <w:r>
                          <w:rPr>
                            <w:lang w:eastAsia="nl-NL"/>
                          </w:rPr>
                          <w:t xml:space="preserve">Op de website van de World </w:t>
                        </w:r>
                        <w:proofErr w:type="spellStart"/>
                        <w:r>
                          <w:rPr>
                            <w:lang w:eastAsia="nl-NL"/>
                          </w:rPr>
                          <w:t>Customs</w:t>
                        </w:r>
                        <w:proofErr w:type="spellEnd"/>
                        <w:r>
                          <w:rPr>
                            <w:lang w:eastAsia="nl-NL"/>
                          </w:rPr>
                          <w:t xml:space="preserve"> </w:t>
                        </w:r>
                        <w:proofErr w:type="spellStart"/>
                        <w:r>
                          <w:rPr>
                            <w:lang w:eastAsia="nl-NL"/>
                          </w:rPr>
                          <w:t>Organization</w:t>
                        </w:r>
                        <w:proofErr w:type="spellEnd"/>
                        <w:r>
                          <w:rPr>
                            <w:lang w:eastAsia="nl-NL"/>
                          </w:rPr>
                          <w:t xml:space="preserve"> werd in de loop van maart 2017 een studie gepubliceerd over E-commerce.  </w:t>
                        </w:r>
                      </w:p>
                      <w:p w:rsidR="00677EAA" w:rsidRDefault="00675A0F" w:rsidP="00677EAA">
                        <w:pPr>
                          <w:pStyle w:val="Geenafstand"/>
                          <w:ind w:left="147"/>
                          <w:rPr>
                            <w:rFonts w:ascii="Verdana" w:hAnsi="Verdana"/>
                            <w:sz w:val="16"/>
                            <w:szCs w:val="16"/>
                            <w:lang w:val="nl-BE"/>
                          </w:rPr>
                        </w:pPr>
                        <w:hyperlink r:id="rId35" w:history="1">
                          <w:r w:rsidR="00677EAA" w:rsidRPr="003058EC">
                            <w:rPr>
                              <w:rStyle w:val="Hyperlink"/>
                              <w:rFonts w:ascii="Verdana" w:hAnsi="Verdana"/>
                              <w:sz w:val="16"/>
                              <w:szCs w:val="16"/>
                              <w:lang w:val="nl-BE"/>
                            </w:rPr>
                            <w:t>http://www.wcoomd.org/~/media/wco/public/global/pdf/topics/facilitation/activities-and-programmes/ecommerce/wco-study-report-on-e_commerce.pdf?db=web</w:t>
                          </w:r>
                        </w:hyperlink>
                      </w:p>
                      <w:p w:rsidR="00677EAA" w:rsidRDefault="00677EAA" w:rsidP="00677EAA">
                        <w:pPr>
                          <w:pStyle w:val="Kop2"/>
                        </w:pPr>
                      </w:p>
                      <w:p w:rsidR="00677EAA" w:rsidRPr="0081125E" w:rsidRDefault="00677EAA" w:rsidP="00677EAA">
                        <w:pPr>
                          <w:pStyle w:val="Kop2"/>
                        </w:pPr>
                        <w:r>
                          <w:t>Studie impact vrijhandelsovereenkomsten op uitvoer van landbouwproducten</w:t>
                        </w:r>
                      </w:p>
                      <w:p w:rsidR="00677EAA" w:rsidRDefault="00677EAA" w:rsidP="00677EAA">
                        <w:pPr>
                          <w:rPr>
                            <w:sz w:val="16"/>
                            <w:szCs w:val="16"/>
                          </w:rPr>
                        </w:pPr>
                        <w:r>
                          <w:rPr>
                            <w:lang w:eastAsia="nl-NL"/>
                          </w:rPr>
                          <w:t>De Commissie heeft op haar website een studie gepubliceerd waaruit blijkt dat h</w:t>
                        </w:r>
                        <w:r w:rsidRPr="00813DF2">
                          <w:rPr>
                            <w:lang w:eastAsia="nl-NL"/>
                          </w:rPr>
                          <w:t xml:space="preserve">andelsovereenkomsten gunstig kunnen zijn voor de verkoop en de werkgelegenheid in de landbouw- en voedingssector </w:t>
                        </w:r>
                        <w:r>
                          <w:rPr>
                            <w:lang w:eastAsia="nl-NL"/>
                          </w:rPr>
                          <w:t xml:space="preserve">in de EU. </w:t>
                        </w:r>
                      </w:p>
                      <w:p w:rsidR="00677EAA" w:rsidRDefault="00675A0F" w:rsidP="00677EAA">
                        <w:pPr>
                          <w:pStyle w:val="Geenafstand"/>
                          <w:ind w:left="147"/>
                          <w:rPr>
                            <w:rFonts w:ascii="Verdana" w:hAnsi="Verdana"/>
                            <w:sz w:val="16"/>
                            <w:szCs w:val="16"/>
                            <w:lang w:val="nl-BE"/>
                          </w:rPr>
                        </w:pPr>
                        <w:hyperlink r:id="rId36" w:history="1">
                          <w:r w:rsidR="00677EAA" w:rsidRPr="00BE66EB">
                            <w:rPr>
                              <w:rStyle w:val="Hyperlink"/>
                              <w:rFonts w:ascii="Verdana" w:hAnsi="Verdana"/>
                              <w:sz w:val="16"/>
                              <w:szCs w:val="16"/>
                              <w:lang w:val="nl-BE"/>
                            </w:rPr>
                            <w:t>https://ec.europa.eu/agriculture/external-studies/2016-bilateral-trade-agreements_en</w:t>
                          </w:r>
                        </w:hyperlink>
                      </w:p>
                      <w:p w:rsidR="00677EAA" w:rsidRDefault="00677EAA" w:rsidP="00677EAA">
                        <w:pPr>
                          <w:pStyle w:val="Kop2"/>
                        </w:pPr>
                      </w:p>
                      <w:p w:rsidR="00677EAA" w:rsidRPr="0081125E" w:rsidRDefault="00677EAA" w:rsidP="00677EAA">
                        <w:pPr>
                          <w:pStyle w:val="Kop2"/>
                        </w:pPr>
                        <w:r>
                          <w:t xml:space="preserve">Pan-Euro mediterrane cumulatie oorsprong– update matrix </w:t>
                        </w:r>
                      </w:p>
                      <w:p w:rsidR="00677EAA" w:rsidRDefault="00677EAA" w:rsidP="00677EAA">
                        <w:pPr>
                          <w:rPr>
                            <w:lang w:eastAsia="nl-NL"/>
                          </w:rPr>
                        </w:pPr>
                        <w:r>
                          <w:rPr>
                            <w:lang w:eastAsia="nl-NL"/>
                          </w:rPr>
                          <w:t>In het publicatieblad C73 dd. 09/03 werd een bericht</w:t>
                        </w:r>
                        <w:r w:rsidRPr="00095CCE">
                          <w:rPr>
                            <w:lang w:eastAsia="nl-NL"/>
                          </w:rPr>
                          <w:t xml:space="preserve"> van de Commissie </w:t>
                        </w:r>
                        <w:r>
                          <w:rPr>
                            <w:lang w:eastAsia="nl-NL"/>
                          </w:rPr>
                          <w:t xml:space="preserve">gepubliceerd </w:t>
                        </w:r>
                        <w:r w:rsidRPr="00095CCE">
                          <w:rPr>
                            <w:lang w:eastAsia="nl-NL"/>
                          </w:rPr>
                          <w:t>over de toepassing van de regionale conventie betreffende de pan-Euro-mediterrane preferentiële oorsprongsregels of de protocollen betreffende de oorsprongsregels die voorzien in diagonale cumulatie tussen de partijen bij deze conventie</w:t>
                        </w:r>
                      </w:p>
                      <w:p w:rsidR="00677EAA" w:rsidRDefault="00675A0F" w:rsidP="00677EAA">
                        <w:pPr>
                          <w:pStyle w:val="Geenafstand"/>
                          <w:ind w:left="147"/>
                          <w:rPr>
                            <w:rFonts w:ascii="Verdana" w:hAnsi="Verdana"/>
                            <w:sz w:val="16"/>
                            <w:szCs w:val="16"/>
                            <w:lang w:val="nl-BE"/>
                          </w:rPr>
                        </w:pPr>
                        <w:hyperlink r:id="rId37" w:history="1">
                          <w:r w:rsidR="00677EAA" w:rsidRPr="00D20216">
                            <w:rPr>
                              <w:rStyle w:val="Hyperlink"/>
                              <w:rFonts w:ascii="Verdana" w:hAnsi="Verdana"/>
                              <w:sz w:val="16"/>
                              <w:szCs w:val="16"/>
                              <w:lang w:val="nl-BE"/>
                            </w:rPr>
                            <w:t>http://eur-lex.europa.eu/legal-content/NL/TXT/PDF/?uri=CELEX:52017XC0309(02)&amp;from=NL</w:t>
                          </w:r>
                        </w:hyperlink>
                      </w:p>
                      <w:p w:rsidR="00677EAA" w:rsidRDefault="00677EAA" w:rsidP="00677EAA">
                        <w:pPr>
                          <w:pStyle w:val="Kop2"/>
                        </w:pPr>
                      </w:p>
                      <w:p w:rsidR="00677EAA" w:rsidRPr="00622B92" w:rsidRDefault="00677EAA" w:rsidP="00677EAA">
                        <w:pPr>
                          <w:pStyle w:val="Kop2"/>
                        </w:pPr>
                        <w:r w:rsidRPr="00622B92">
                          <w:t xml:space="preserve">Cumulatie oorsprong tussen EU, Noorwegen, Turkije </w:t>
                        </w:r>
                      </w:p>
                      <w:p w:rsidR="00677EAA" w:rsidRDefault="00677EAA" w:rsidP="00677EAA">
                        <w:pPr>
                          <w:rPr>
                            <w:lang w:eastAsia="nl-NL"/>
                          </w:rPr>
                        </w:pPr>
                        <w:r w:rsidRPr="00622B92">
                          <w:rPr>
                            <w:lang w:eastAsia="nl-NL"/>
                          </w:rPr>
                          <w:t>In het publicatieblad L73 dd. 18/03 werd het BESLUIT (EU) 2017/471 VAN DE RAAD van 28 februari 2017 gepubliceerd betreffende de ondertekening, namens de Europese Unie, van een Overeenkomst in de vorm van een briefwisseling tussen de Europese Unie en het Koninkrijk Noorwegen inzake de cumulatie van de oorsprong tussen de Europese Unie, Zwitserland, Noorwegen en Turkije in het kader van het stelsel van algemene preferenties van de Europese Unie</w:t>
                        </w:r>
                      </w:p>
                      <w:p w:rsidR="00677EAA" w:rsidRDefault="00675A0F" w:rsidP="00675A0F">
                        <w:pPr>
                          <w:pStyle w:val="Geenafstand"/>
                          <w:ind w:left="147"/>
                          <w:rPr>
                            <w:rFonts w:ascii="Verdana" w:hAnsi="Verdana"/>
                            <w:sz w:val="16"/>
                            <w:szCs w:val="16"/>
                            <w:lang w:val="nl-BE"/>
                          </w:rPr>
                        </w:pPr>
                        <w:hyperlink r:id="rId38" w:history="1">
                          <w:r w:rsidR="00677EAA" w:rsidRPr="00B35F52">
                            <w:rPr>
                              <w:rStyle w:val="Hyperlink"/>
                              <w:rFonts w:ascii="Verdana" w:hAnsi="Verdana"/>
                              <w:sz w:val="16"/>
                              <w:szCs w:val="16"/>
                              <w:lang w:val="nl-BE"/>
                            </w:rPr>
                            <w:t>http://eur-lex.europa.eu/legal-content/NL/TXT/PDF/?uri=CELEX:32017D0471&amp;from=NL</w:t>
                          </w:r>
                        </w:hyperlink>
                      </w:p>
                      <w:p w:rsidR="00677EAA" w:rsidRDefault="00677EAA" w:rsidP="00677EAA">
                        <w:pPr>
                          <w:pStyle w:val="Kop2"/>
                        </w:pPr>
                      </w:p>
                      <w:p w:rsidR="00677EAA" w:rsidRPr="0081125E" w:rsidRDefault="00677EAA" w:rsidP="00677EAA">
                        <w:pPr>
                          <w:pStyle w:val="Kop2"/>
                        </w:pPr>
                        <w:r>
                          <w:t xml:space="preserve">Voorstel wijziging UCC – </w:t>
                        </w:r>
                        <w:proofErr w:type="spellStart"/>
                        <w:r>
                          <w:t>Implementing</w:t>
                        </w:r>
                        <w:proofErr w:type="spellEnd"/>
                        <w:r>
                          <w:t xml:space="preserve"> Act </w:t>
                        </w:r>
                      </w:p>
                      <w:p w:rsidR="00677EAA" w:rsidRDefault="00677EAA" w:rsidP="00677EAA">
                        <w:pPr>
                          <w:rPr>
                            <w:sz w:val="16"/>
                            <w:szCs w:val="16"/>
                          </w:rPr>
                        </w:pPr>
                        <w:r>
                          <w:rPr>
                            <w:lang w:eastAsia="nl-NL"/>
                          </w:rPr>
                          <w:t xml:space="preserve">De Commissie heeft op 14/03 op haar website de laatste versie van het ontwerp tot wijziging van </w:t>
                        </w:r>
                        <w:r w:rsidRPr="009E4072">
                          <w:rPr>
                            <w:lang w:eastAsia="nl-NL"/>
                          </w:rPr>
                          <w:t>verordening 2015/2447(</w:t>
                        </w:r>
                        <w:r>
                          <w:rPr>
                            <w:lang w:eastAsia="nl-NL"/>
                          </w:rPr>
                          <w:t xml:space="preserve">UCC – </w:t>
                        </w:r>
                        <w:proofErr w:type="spellStart"/>
                        <w:r>
                          <w:rPr>
                            <w:lang w:eastAsia="nl-NL"/>
                          </w:rPr>
                          <w:t>Implementing</w:t>
                        </w:r>
                        <w:proofErr w:type="spellEnd"/>
                        <w:r>
                          <w:rPr>
                            <w:lang w:eastAsia="nl-NL"/>
                          </w:rPr>
                          <w:t xml:space="preserve"> act) en bepaalde bijlagen gepubliceerd. </w:t>
                        </w:r>
                      </w:p>
                      <w:p w:rsidR="00677EAA" w:rsidRDefault="00675A0F" w:rsidP="00677EAA">
                        <w:pPr>
                          <w:pStyle w:val="Geenafstand"/>
                          <w:ind w:left="147"/>
                          <w:rPr>
                            <w:rFonts w:ascii="Verdana" w:hAnsi="Verdana"/>
                            <w:sz w:val="16"/>
                            <w:szCs w:val="16"/>
                            <w:lang w:val="nl-BE"/>
                          </w:rPr>
                        </w:pPr>
                        <w:hyperlink r:id="rId39" w:history="1">
                          <w:r w:rsidR="00677EAA" w:rsidRPr="007E1064">
                            <w:rPr>
                              <w:rStyle w:val="Hyperlink"/>
                              <w:rFonts w:ascii="Verdana" w:hAnsi="Verdana"/>
                              <w:sz w:val="16"/>
                              <w:szCs w:val="16"/>
                              <w:lang w:val="nl-BE"/>
                            </w:rPr>
                            <w:t>http://ec.europa.eu/info/law/better-regulation/initiatives/ares-2017-1269359_en</w:t>
                          </w:r>
                        </w:hyperlink>
                      </w:p>
                      <w:p w:rsidR="00677EAA" w:rsidRDefault="00677EAA" w:rsidP="00677EAA">
                        <w:pPr>
                          <w:pStyle w:val="Kop2"/>
                        </w:pPr>
                      </w:p>
                      <w:p w:rsidR="00677EAA" w:rsidRPr="0081125E" w:rsidRDefault="00677EAA" w:rsidP="00677EAA">
                        <w:pPr>
                          <w:pStyle w:val="Kop2"/>
                        </w:pPr>
                        <w:r>
                          <w:t>Gemeenschappelijke EU-lijst van militaire goederen</w:t>
                        </w:r>
                      </w:p>
                      <w:p w:rsidR="00677EAA" w:rsidRPr="00584D98" w:rsidRDefault="00677EAA" w:rsidP="00677EAA">
                        <w:pPr>
                          <w:rPr>
                            <w:lang w:eastAsia="nl-NL"/>
                          </w:rPr>
                        </w:pPr>
                        <w:r>
                          <w:rPr>
                            <w:lang w:eastAsia="nl-NL"/>
                          </w:rPr>
                          <w:t xml:space="preserve">In het publicatieblad C 97 (dd. 28/06) werd de gemeenschappelijke </w:t>
                        </w:r>
                        <w:r w:rsidRPr="00584D98">
                          <w:rPr>
                            <w:lang w:eastAsia="nl-NL"/>
                          </w:rPr>
                          <w:t>EU-</w:t>
                        </w:r>
                        <w:r>
                          <w:rPr>
                            <w:lang w:eastAsia="nl-NL"/>
                          </w:rPr>
                          <w:t xml:space="preserve">lijst van militaire goederen gepubliceerd </w:t>
                        </w:r>
                        <w:r w:rsidRPr="00584D98">
                          <w:rPr>
                            <w:lang w:eastAsia="nl-NL"/>
                          </w:rPr>
                          <w:t>waarop Gemeenschappelijk Standpunt 2008/944/GBVB van de Raad tot vast</w:t>
                        </w:r>
                        <w:r>
                          <w:rPr>
                            <w:lang w:eastAsia="nl-NL"/>
                          </w:rPr>
                          <w:t xml:space="preserve">stelling van gemeenschappelijke </w:t>
                        </w:r>
                        <w:r w:rsidRPr="00584D98">
                          <w:rPr>
                            <w:lang w:eastAsia="nl-NL"/>
                          </w:rPr>
                          <w:t>voorschriften voor de controle op de uitvoer van militaire goederen en tec</w:t>
                        </w:r>
                        <w:r>
                          <w:rPr>
                            <w:lang w:eastAsia="nl-NL"/>
                          </w:rPr>
                          <w:t>hnologie van toepassing is</w:t>
                        </w:r>
                      </w:p>
                      <w:p w:rsidR="00677EAA" w:rsidRDefault="00675A0F" w:rsidP="00677EAA">
                        <w:pPr>
                          <w:pStyle w:val="Geenafstand"/>
                          <w:ind w:left="147"/>
                          <w:rPr>
                            <w:rFonts w:ascii="Verdana" w:hAnsi="Verdana"/>
                            <w:sz w:val="16"/>
                            <w:szCs w:val="16"/>
                            <w:lang w:val="nl-BE"/>
                          </w:rPr>
                        </w:pPr>
                        <w:hyperlink r:id="rId40" w:history="1">
                          <w:r w:rsidR="00677EAA" w:rsidRPr="00FF2ACF">
                            <w:rPr>
                              <w:rStyle w:val="Hyperlink"/>
                              <w:rFonts w:ascii="Verdana" w:hAnsi="Verdana"/>
                              <w:sz w:val="16"/>
                              <w:szCs w:val="16"/>
                              <w:lang w:val="nl-BE"/>
                            </w:rPr>
                            <w:t>http://eur-lex.europa.eu/legal-content/NL/TXT/PDF/?uri=CELEX:52017XG0328(01)&amp;from=NL</w:t>
                          </w:r>
                        </w:hyperlink>
                      </w:p>
                      <w:p w:rsidR="00677EAA" w:rsidRDefault="00677EAA" w:rsidP="00677EAA">
                        <w:pPr>
                          <w:pStyle w:val="Kop2"/>
                        </w:pPr>
                      </w:p>
                      <w:p w:rsidR="00677EAA" w:rsidRPr="0081125E" w:rsidRDefault="00677EAA" w:rsidP="00677EAA">
                        <w:pPr>
                          <w:pStyle w:val="Kop2"/>
                        </w:pPr>
                        <w:r w:rsidRPr="004C32F6">
                          <w:t>Biologische producten uit Noorwegen en IJsland opnieuw welkom in de EU</w:t>
                        </w:r>
                      </w:p>
                      <w:p w:rsidR="00677EAA" w:rsidRDefault="00677EAA" w:rsidP="00677EAA">
                        <w:pPr>
                          <w:rPr>
                            <w:lang w:eastAsia="nl-NL"/>
                          </w:rPr>
                        </w:pPr>
                        <w:r>
                          <w:rPr>
                            <w:lang w:eastAsia="nl-NL"/>
                          </w:rPr>
                          <w:t xml:space="preserve">Met een persbericht van 17/03 deelt de Commissie mee dat </w:t>
                        </w:r>
                        <w:r w:rsidRPr="004C32F6">
                          <w:rPr>
                            <w:lang w:eastAsia="nl-NL"/>
                          </w:rPr>
                          <w:t>Noorse en IJslandse biologische producten, waaronder Noorse biologische zalm, opnieuw mogen worde</w:t>
                        </w:r>
                        <w:r>
                          <w:rPr>
                            <w:lang w:eastAsia="nl-NL"/>
                          </w:rPr>
                          <w:t>n ingevoerd in de Europese Unie.</w:t>
                        </w:r>
                        <w:r w:rsidRPr="004C32F6">
                          <w:rPr>
                            <w:lang w:eastAsia="nl-NL"/>
                          </w:rPr>
                          <w:t xml:space="preserve"> De geldende Europese wetgeving daarover is nu immers opgenomen in de overeenkomst over de Europese Economische Ruimte (EER).</w:t>
                        </w:r>
                      </w:p>
                      <w:p w:rsidR="00677EAA" w:rsidRDefault="00675A0F" w:rsidP="00677EAA">
                        <w:pPr>
                          <w:pStyle w:val="Geenafstand"/>
                          <w:ind w:left="147"/>
                          <w:rPr>
                            <w:rFonts w:ascii="Verdana" w:hAnsi="Verdana"/>
                            <w:sz w:val="16"/>
                            <w:szCs w:val="16"/>
                            <w:lang w:val="nl-BE"/>
                          </w:rPr>
                        </w:pPr>
                        <w:hyperlink r:id="rId41" w:history="1">
                          <w:r w:rsidR="00677EAA" w:rsidRPr="006D6803">
                            <w:rPr>
                              <w:rStyle w:val="Hyperlink"/>
                              <w:rFonts w:ascii="Verdana" w:hAnsi="Verdana"/>
                              <w:sz w:val="16"/>
                              <w:szCs w:val="16"/>
                              <w:lang w:val="nl-BE"/>
                            </w:rPr>
                            <w:t>http://europa.eu/rapid/press-release_IP-17-627_nl.htm</w:t>
                          </w:r>
                        </w:hyperlink>
                      </w:p>
                      <w:p w:rsidR="00677EAA" w:rsidRDefault="00677EAA" w:rsidP="00677EAA">
                        <w:pPr>
                          <w:pStyle w:val="Kop2"/>
                        </w:pPr>
                      </w:p>
                      <w:p w:rsidR="00677EAA" w:rsidRPr="0081125E" w:rsidRDefault="00677EAA" w:rsidP="00677EAA">
                        <w:pPr>
                          <w:pStyle w:val="Kop2"/>
                        </w:pPr>
                        <w:r>
                          <w:t xml:space="preserve">Rectificaties UCC DA, IA en TDA </w:t>
                        </w:r>
                      </w:p>
                      <w:p w:rsidR="00677EAA" w:rsidRDefault="00677EAA" w:rsidP="00677EAA">
                        <w:pPr>
                          <w:rPr>
                            <w:lang w:eastAsia="nl-NL"/>
                          </w:rPr>
                        </w:pPr>
                        <w:r>
                          <w:rPr>
                            <w:lang w:eastAsia="nl-NL"/>
                          </w:rPr>
                          <w:t xml:space="preserve">In het publicatieblad L 107 dd. 13/04/2017 werden een aantal rectificaties gepubliceerd m.b.t. de uitvoeringsbepalingen van het Douanewetboek van de Unie. </w:t>
                        </w:r>
                      </w:p>
                      <w:p w:rsidR="00677EAA" w:rsidRDefault="00677EAA" w:rsidP="00677EAA">
                        <w:pPr>
                          <w:rPr>
                            <w:lang w:eastAsia="nl-NL"/>
                          </w:rPr>
                        </w:pPr>
                        <w:r>
                          <w:rPr>
                            <w:lang w:eastAsia="nl-NL"/>
                          </w:rPr>
                          <w:t xml:space="preserve">Het betreft de volgende wijzigingen : </w:t>
                        </w:r>
                      </w:p>
                      <w:p w:rsidR="00677EAA" w:rsidRDefault="00677EAA" w:rsidP="00677EAA">
                        <w:pPr>
                          <w:pStyle w:val="Lijstalinea"/>
                          <w:numPr>
                            <w:ilvl w:val="0"/>
                            <w:numId w:val="1"/>
                          </w:numPr>
                        </w:pPr>
                        <w:r w:rsidRPr="006E44A1">
                          <w:t>Rectificatie van Gedelegeerde Verordening (EU) 2015/2446 van de Commissie van 28 juli 2015 tot aanvulling van Verordening (EU) nr. 952/2013 van het Europees Parlement en de Raad met nadere regels betreffende een aantal bepalingen van het douanewetboek van de Unie</w:t>
                        </w:r>
                      </w:p>
                      <w:p w:rsidR="00677EAA" w:rsidRDefault="00675A0F" w:rsidP="00677EAA">
                        <w:pPr>
                          <w:pStyle w:val="Geenafstand"/>
                          <w:ind w:left="720"/>
                          <w:rPr>
                            <w:rFonts w:ascii="Verdana" w:hAnsi="Verdana"/>
                            <w:sz w:val="16"/>
                            <w:szCs w:val="16"/>
                            <w:lang w:val="nl-BE"/>
                          </w:rPr>
                        </w:pPr>
                        <w:hyperlink r:id="rId42" w:history="1">
                          <w:r w:rsidR="00677EAA" w:rsidRPr="00690195">
                            <w:rPr>
                              <w:rStyle w:val="Hyperlink"/>
                              <w:rFonts w:ascii="Verdana" w:hAnsi="Verdana"/>
                              <w:sz w:val="16"/>
                              <w:szCs w:val="16"/>
                              <w:lang w:val="nl-BE"/>
                            </w:rPr>
                            <w:t>http://eur-lex.europa.eu/legal-content/NL/TXT/PDF/?uri=CELEX:32015R2446R(03)&amp;from=NL</w:t>
                          </w:r>
                        </w:hyperlink>
                      </w:p>
                      <w:p w:rsidR="00677EAA" w:rsidRDefault="00677EAA" w:rsidP="00677EAA"/>
                      <w:p w:rsidR="00677EAA" w:rsidRDefault="00677EAA" w:rsidP="00677EAA">
                        <w:pPr>
                          <w:pStyle w:val="Lijstalinea"/>
                          <w:numPr>
                            <w:ilvl w:val="0"/>
                            <w:numId w:val="1"/>
                          </w:numPr>
                        </w:pPr>
                        <w:r w:rsidRPr="00801B1A">
                          <w:t>Rectificatie van Uitvoeringsverordening (EU) 2015/2447 van de Commissie van 24 november 2015 houdende nadere uitvoeringsvoorschriften voor enkele bepalingen van Verordening (EU) nr. 952/2013 van het Europees Parlement en de Raad tot vaststelling van het douanewetboek van de Unie</w:t>
                        </w:r>
                      </w:p>
                      <w:p w:rsidR="00677EAA" w:rsidRDefault="00675A0F" w:rsidP="00677EAA">
                        <w:pPr>
                          <w:pStyle w:val="Geenafstand"/>
                          <w:ind w:left="720"/>
                          <w:rPr>
                            <w:rFonts w:ascii="Verdana" w:hAnsi="Verdana"/>
                            <w:sz w:val="16"/>
                            <w:szCs w:val="16"/>
                            <w:lang w:val="nl-BE"/>
                          </w:rPr>
                        </w:pPr>
                        <w:hyperlink r:id="rId43" w:history="1">
                          <w:r w:rsidR="00677EAA" w:rsidRPr="00AB6D55">
                            <w:rPr>
                              <w:rStyle w:val="Hyperlink"/>
                              <w:rFonts w:ascii="Verdana" w:hAnsi="Verdana"/>
                              <w:sz w:val="16"/>
                              <w:szCs w:val="16"/>
                              <w:lang w:val="nl-BE"/>
                            </w:rPr>
                            <w:t>http://eur-lex.europa.eu/legal-content/NL/TXT/PDF/?uri=CELEX:32015R2447R(02)&amp;from=NL</w:t>
                          </w:r>
                        </w:hyperlink>
                      </w:p>
                      <w:p w:rsidR="00677EAA" w:rsidRDefault="00677EAA" w:rsidP="00677EAA"/>
                      <w:p w:rsidR="00677EAA" w:rsidRDefault="00677EAA" w:rsidP="00677EAA">
                        <w:pPr>
                          <w:pStyle w:val="Lijstalinea"/>
                          <w:numPr>
                            <w:ilvl w:val="0"/>
                            <w:numId w:val="1"/>
                          </w:numPr>
                        </w:pPr>
                        <w:r w:rsidRPr="00801B1A">
                          <w:t>Rectificatie van Gedelegeerde Verordening (EU) 2016/341 van de Commissie van 17 december 2015 tot aanvulling van Verordening (EU) nr. 952/2013 van het Europees Parlement en van de Raad met overgangsregels voor enkele bepalingen van het douanewetboek van de Unie voor de gevallen waarin de relevante elektronische systemen nog niet operationeel zijn, en tot wijziging van Gedelegeerde Verordening (EU) 2015/2446</w:t>
                        </w:r>
                      </w:p>
                      <w:p w:rsidR="00677EAA" w:rsidRDefault="00675A0F" w:rsidP="00677EAA">
                        <w:pPr>
                          <w:pStyle w:val="Geenafstand"/>
                          <w:ind w:left="720"/>
                          <w:rPr>
                            <w:rFonts w:ascii="Verdana" w:hAnsi="Verdana"/>
                            <w:sz w:val="16"/>
                            <w:szCs w:val="16"/>
                            <w:lang w:val="nl-BE"/>
                          </w:rPr>
                        </w:pPr>
                        <w:hyperlink r:id="rId44" w:history="1">
                          <w:r w:rsidR="00677EAA" w:rsidRPr="00AB6D55">
                            <w:rPr>
                              <w:rStyle w:val="Hyperlink"/>
                              <w:rFonts w:ascii="Verdana" w:hAnsi="Verdana"/>
                              <w:sz w:val="16"/>
                              <w:szCs w:val="16"/>
                              <w:lang w:val="nl-BE"/>
                            </w:rPr>
                            <w:t>http://eur-lex.europa.eu/legal-content/NL/TXT/PDF/?uri=CELEX:32016R0341R(02)&amp;from=NL</w:t>
                          </w:r>
                        </w:hyperlink>
                      </w:p>
                      <w:p w:rsidR="00677EAA" w:rsidRDefault="00677EAA" w:rsidP="00677EAA">
                        <w:pPr>
                          <w:pStyle w:val="Kop2"/>
                        </w:pPr>
                      </w:p>
                      <w:p w:rsidR="00677EAA" w:rsidRPr="00C84791" w:rsidRDefault="00677EAA" w:rsidP="00677EAA">
                        <w:pPr>
                          <w:pStyle w:val="Kop2"/>
                        </w:pPr>
                        <w:r>
                          <w:t xml:space="preserve">Wijziging uitvoeringsbesluit fytosanitaire controles op verpakkingshout uit China </w:t>
                        </w:r>
                      </w:p>
                      <w:p w:rsidR="00677EAA" w:rsidRDefault="00677EAA" w:rsidP="00677EAA">
                        <w:r>
                          <w:t>In het publicatieblad L 107 (dd. 25/04) werd het uitvoeringsbesluit</w:t>
                        </w:r>
                        <w:r w:rsidRPr="005C509E">
                          <w:t xml:space="preserve"> (EU) 2017/728 </w:t>
                        </w:r>
                        <w:r>
                          <w:t xml:space="preserve">van de Commissie </w:t>
                        </w:r>
                        <w:r w:rsidRPr="005C509E">
                          <w:t xml:space="preserve">van 20 april 2017 </w:t>
                        </w:r>
                        <w:r>
                          <w:t xml:space="preserve">gepubliceerd </w:t>
                        </w:r>
                        <w:r w:rsidRPr="005C509E">
                          <w:t>tot wijziging van Uitvoeringsbesluit 2013/92/EU betreffende het toezicht, de fytosanitaire controles en de te nemen maatregelen met betrekking tot houten verpakkingsmateriaal dat gebruikt wordt voor het vervoer van specifieke goederen van oorsprong uit China</w:t>
                        </w:r>
                        <w:r>
                          <w:t>.</w:t>
                        </w:r>
                      </w:p>
                      <w:p w:rsidR="00677EAA" w:rsidRDefault="00675A0F" w:rsidP="00677EAA">
                        <w:pPr>
                          <w:pStyle w:val="Geenafstand"/>
                          <w:ind w:left="147"/>
                          <w:rPr>
                            <w:rFonts w:ascii="Verdana" w:hAnsi="Verdana"/>
                            <w:sz w:val="16"/>
                            <w:szCs w:val="16"/>
                            <w:lang w:val="nl-BE"/>
                          </w:rPr>
                        </w:pPr>
                        <w:hyperlink r:id="rId45" w:history="1">
                          <w:r w:rsidR="00677EAA" w:rsidRPr="00B43876">
                            <w:rPr>
                              <w:rStyle w:val="Hyperlink"/>
                              <w:rFonts w:ascii="Verdana" w:hAnsi="Verdana"/>
                              <w:sz w:val="16"/>
                              <w:szCs w:val="16"/>
                              <w:lang w:val="nl-BE"/>
                            </w:rPr>
                            <w:t>http://eur-lex.europa.eu/legal-content/NL/TXT/PDF/?uri=CELEX:32017D0728&amp;from=NL</w:t>
                          </w:r>
                        </w:hyperlink>
                      </w:p>
                      <w:p w:rsidR="00677EAA" w:rsidRDefault="00677EAA" w:rsidP="00677EAA"/>
                      <w:p w:rsidR="00677EAA" w:rsidRDefault="00677EAA" w:rsidP="00677EAA">
                        <w:r>
                          <w:t xml:space="preserve">De geconsolideerde versie van het uitvoeringsbesluit 2013/92 werd op 03/05 op de website van </w:t>
                        </w:r>
                        <w:proofErr w:type="spellStart"/>
                        <w:r>
                          <w:t>FisconetPlus</w:t>
                        </w:r>
                        <w:proofErr w:type="spellEnd"/>
                        <w:r>
                          <w:t xml:space="preserve"> gepubliceerd. </w:t>
                        </w:r>
                      </w:p>
                      <w:p w:rsidR="00677EAA" w:rsidRDefault="00675A0F" w:rsidP="00677EAA">
                        <w:pPr>
                          <w:pStyle w:val="Geenafstand"/>
                          <w:ind w:left="147"/>
                          <w:rPr>
                            <w:rFonts w:ascii="Verdana" w:hAnsi="Verdana"/>
                            <w:sz w:val="16"/>
                            <w:szCs w:val="16"/>
                            <w:lang w:val="nl-BE"/>
                          </w:rPr>
                        </w:pPr>
                        <w:hyperlink r:id="rId46" w:anchor="findHighlighted" w:history="1">
                          <w:r w:rsidR="00677EAA" w:rsidRPr="00790BCE">
                            <w:rPr>
                              <w:rStyle w:val="Hyperlink"/>
                              <w:rFonts w:ascii="Verdana" w:hAnsi="Verdana"/>
                              <w:sz w:val="16"/>
                              <w:szCs w:val="16"/>
                              <w:lang w:val="nl-BE"/>
                            </w:rPr>
                            <w:t>http://ccff02.minfin.fgov.be/KMWeb/document.do?method=view&amp;id=f46df9b3-113a-4a7a-a5de-e46d59ca3f5a&amp;caller=1#findHighlighted</w:t>
                          </w:r>
                        </w:hyperlink>
                      </w:p>
                      <w:p w:rsidR="00677EAA" w:rsidRDefault="00677EAA" w:rsidP="00677EAA">
                        <w:pPr>
                          <w:pStyle w:val="Kop2"/>
                        </w:pPr>
                        <w:bookmarkStart w:id="0" w:name="_GoBack"/>
                        <w:bookmarkEnd w:id="0"/>
                      </w:p>
                    </w:tc>
                  </w:tr>
                  <w:tr w:rsidR="00A80140">
                    <w:trPr>
                      <w:trHeight w:val="300"/>
                      <w:tblCellSpacing w:w="0" w:type="dxa"/>
                    </w:trPr>
                    <w:tc>
                      <w:tcPr>
                        <w:tcW w:w="0" w:type="auto"/>
                        <w:vAlign w:val="center"/>
                        <w:hideMark/>
                      </w:tcPr>
                      <w:p w:rsidR="00F075A0" w:rsidRPr="00F075A0" w:rsidRDefault="00F075A0" w:rsidP="00F075A0">
                        <w:pPr>
                          <w:pStyle w:val="Kop2"/>
                        </w:pPr>
                        <w:r w:rsidRPr="00F075A0">
                          <w:t>Aanvullende invoerrechten op bepaalde producten van oorsprong uit de VSA</w:t>
                        </w:r>
                      </w:p>
                      <w:p w:rsidR="00F075A0" w:rsidRDefault="00F075A0" w:rsidP="00F075A0">
                        <w:r>
                          <w:t xml:space="preserve">In het publicatieblad L 113 (dd. 29/04) werd de gedelegeerde verordening </w:t>
                        </w:r>
                        <w:r w:rsidRPr="00A41E23">
                          <w:t xml:space="preserve">(EU) 2017/750 </w:t>
                        </w:r>
                        <w:r>
                          <w:t xml:space="preserve">van de Commissie gepubliceerd </w:t>
                        </w:r>
                        <w:r w:rsidRPr="00A41E23">
                          <w:t>tot wijziging van Verordening (EG) nr. 673/2005 van de Raad tot vaststelling van aanvullende douanerechten op de invoer van bepaalde producten van oorsprong uit de Verenigde Staten van Amerika</w:t>
                        </w:r>
                        <w:r>
                          <w:t>.</w:t>
                        </w:r>
                      </w:p>
                      <w:p w:rsidR="00F075A0" w:rsidRDefault="00675A0F" w:rsidP="00F075A0">
                        <w:pPr>
                          <w:pStyle w:val="Geenafstand"/>
                          <w:ind w:left="147"/>
                          <w:rPr>
                            <w:rFonts w:ascii="Verdana" w:hAnsi="Verdana"/>
                            <w:sz w:val="16"/>
                            <w:szCs w:val="16"/>
                            <w:lang w:val="nl-BE"/>
                          </w:rPr>
                        </w:pPr>
                        <w:hyperlink r:id="rId47" w:history="1">
                          <w:r w:rsidR="00F075A0" w:rsidRPr="00B43876">
                            <w:rPr>
                              <w:rStyle w:val="Hyperlink"/>
                              <w:rFonts w:ascii="Verdana" w:hAnsi="Verdana"/>
                              <w:sz w:val="16"/>
                              <w:szCs w:val="16"/>
                              <w:lang w:val="nl-BE"/>
                            </w:rPr>
                            <w:t>http://eur-lex.europa.eu/legal-content/NL/TXT/PDF/?uri=CELEX:32017R0750&amp;from=NL</w:t>
                          </w:r>
                        </w:hyperlink>
                      </w:p>
                      <w:p w:rsidR="00F075A0" w:rsidRDefault="00F075A0" w:rsidP="00677EAA"/>
                      <w:p w:rsidR="00F075A0" w:rsidRDefault="00F075A0" w:rsidP="00F075A0">
                        <w:pPr>
                          <w:rPr>
                            <w:rFonts w:ascii="Verdana" w:hAnsi="Verdana"/>
                            <w:sz w:val="16"/>
                            <w:szCs w:val="16"/>
                          </w:rPr>
                        </w:pPr>
                        <w:r>
                          <w:t xml:space="preserve">De geconsolideerde versie van de verordening nr. 673/2005 werd op 10/05 gepubliceerd op de website van </w:t>
                        </w:r>
                        <w:proofErr w:type="spellStart"/>
                        <w:r>
                          <w:t>FisonetPlus</w:t>
                        </w:r>
                        <w:proofErr w:type="spellEnd"/>
                        <w:r>
                          <w:t xml:space="preserve">: </w:t>
                        </w:r>
                      </w:p>
                      <w:p w:rsidR="00F075A0" w:rsidRPr="00F075A0" w:rsidRDefault="00675A0F" w:rsidP="00F075A0">
                        <w:pPr>
                          <w:pStyle w:val="Geenafstand"/>
                          <w:ind w:left="147"/>
                          <w:rPr>
                            <w:rStyle w:val="Hyperlink"/>
                            <w:lang w:val="nl-BE"/>
                          </w:rPr>
                        </w:pPr>
                        <w:hyperlink r:id="rId48" w:anchor="findHighlighted" w:history="1">
                          <w:r w:rsidR="00F075A0" w:rsidRPr="00F518DD">
                            <w:rPr>
                              <w:rStyle w:val="Hyperlink"/>
                              <w:rFonts w:ascii="Verdana" w:hAnsi="Verdana"/>
                              <w:sz w:val="16"/>
                              <w:szCs w:val="16"/>
                              <w:lang w:val="nl-BE"/>
                            </w:rPr>
                            <w:t>http://ccff02.minfin.fgov.be/KMWeb/document.do?method=view&amp;id=8c11abdf-0da3-4311-9e4a-28ae62b9f13b&amp;caller=1#findHighlighted</w:t>
                          </w:r>
                        </w:hyperlink>
                      </w:p>
                      <w:p w:rsidR="00F075A0" w:rsidRDefault="00F075A0" w:rsidP="00250F5B">
                        <w:pPr>
                          <w:pStyle w:val="Kop2"/>
                        </w:pPr>
                      </w:p>
                      <w:p w:rsidR="00F075A0" w:rsidRPr="00C84791" w:rsidRDefault="00F075A0" w:rsidP="00F075A0">
                        <w:pPr>
                          <w:pStyle w:val="Kop2"/>
                        </w:pPr>
                        <w:r>
                          <w:t>Wijziging drempel vrijstelling ENS/EXS via corridor van Neum</w:t>
                        </w:r>
                      </w:p>
                      <w:p w:rsidR="00F075A0" w:rsidRDefault="00F075A0" w:rsidP="00F075A0">
                        <w:r>
                          <w:t>In het publicatieblad L 114 (dd. 03/05) werd verordening</w:t>
                        </w:r>
                        <w:r w:rsidRPr="001F1746">
                          <w:t xml:space="preserve"> (EU) 2017/762 </w:t>
                        </w:r>
                        <w:r>
                          <w:t>gepubliceerd</w:t>
                        </w:r>
                        <w:r w:rsidRPr="001F1746">
                          <w:t xml:space="preserve"> tot wijziging van Verordening (EU) nr. 479/2013 betreffende de vrijstelling van de vereiste om summiere aangiften bij binnenbrengen en uitgaan in te dienen voor Uniegoederen die via de corridor van Neum worden vervoerd</w:t>
                        </w:r>
                        <w:r>
                          <w:t>.</w:t>
                        </w:r>
                      </w:p>
                      <w:p w:rsidR="00F075A0" w:rsidRDefault="00675A0F" w:rsidP="00F075A0">
                        <w:pPr>
                          <w:pStyle w:val="Geenafstand"/>
                          <w:ind w:left="147"/>
                          <w:rPr>
                            <w:rFonts w:ascii="Verdana" w:hAnsi="Verdana"/>
                            <w:sz w:val="16"/>
                            <w:szCs w:val="16"/>
                            <w:lang w:val="nl-BE"/>
                          </w:rPr>
                        </w:pPr>
                        <w:hyperlink r:id="rId49" w:history="1">
                          <w:r w:rsidR="00F075A0" w:rsidRPr="001149E2">
                            <w:rPr>
                              <w:rStyle w:val="Hyperlink"/>
                              <w:rFonts w:ascii="Verdana" w:hAnsi="Verdana"/>
                              <w:sz w:val="16"/>
                              <w:szCs w:val="16"/>
                              <w:lang w:val="nl-BE"/>
                            </w:rPr>
                            <w:t>http://eur-lex.europa.eu/legal-content/NL/TXT/PDF/?uri=CELEX:32017R0762&amp;from=NL</w:t>
                          </w:r>
                        </w:hyperlink>
                      </w:p>
                      <w:p w:rsidR="00F075A0" w:rsidRDefault="00F075A0" w:rsidP="00250F5B"/>
                      <w:p w:rsidR="00F075A0" w:rsidRDefault="00F075A0" w:rsidP="00F075A0">
                        <w:pPr>
                          <w:rPr>
                            <w:sz w:val="16"/>
                            <w:szCs w:val="16"/>
                          </w:rPr>
                        </w:pPr>
                        <w:r>
                          <w:t xml:space="preserve">De geconsolideerde versie van verordening nr. 479/2013 werd eveneens op de website van </w:t>
                        </w:r>
                        <w:proofErr w:type="spellStart"/>
                        <w:r>
                          <w:t>FisconetPlus</w:t>
                        </w:r>
                        <w:proofErr w:type="spellEnd"/>
                        <w:r>
                          <w:t xml:space="preserve"> gepubliceerd. </w:t>
                        </w:r>
                      </w:p>
                      <w:p w:rsidR="00F075A0" w:rsidRDefault="00675A0F" w:rsidP="00F075A0">
                        <w:pPr>
                          <w:pStyle w:val="Geenafstand"/>
                          <w:ind w:left="147"/>
                          <w:rPr>
                            <w:rFonts w:ascii="Verdana" w:hAnsi="Verdana"/>
                            <w:sz w:val="16"/>
                            <w:szCs w:val="16"/>
                            <w:lang w:val="nl-BE"/>
                          </w:rPr>
                        </w:pPr>
                        <w:hyperlink r:id="rId50" w:anchor="findHighlighted" w:history="1">
                          <w:r w:rsidR="00F075A0" w:rsidRPr="00790BCE">
                            <w:rPr>
                              <w:rStyle w:val="Hyperlink"/>
                              <w:rFonts w:ascii="Verdana" w:hAnsi="Verdana"/>
                              <w:sz w:val="16"/>
                              <w:szCs w:val="16"/>
                              <w:lang w:val="nl-BE"/>
                            </w:rPr>
                            <w:t>http://ccff02.minfin.fgov.be/KMWeb/document.do?method=view&amp;id=effcef7c-2ad6-4cbe-bb77-f8ce4e20f609&amp;caller=1#findHighlighted</w:t>
                          </w:r>
                        </w:hyperlink>
                      </w:p>
                      <w:p w:rsidR="00F075A0" w:rsidRDefault="00F075A0" w:rsidP="00250F5B">
                        <w:pPr>
                          <w:pStyle w:val="Kop2"/>
                        </w:pPr>
                      </w:p>
                      <w:p w:rsidR="00F075A0" w:rsidRDefault="00F075A0" w:rsidP="00F075A0">
                        <w:pPr>
                          <w:pStyle w:val="Kop2"/>
                        </w:pPr>
                        <w:r w:rsidRPr="000E6F23">
                          <w:t xml:space="preserve">Benelux en India presenteren resultaten van het onderzoek Papierloze douaneprocedures aan </w:t>
                        </w:r>
                        <w:proofErr w:type="spellStart"/>
                        <w:r w:rsidRPr="000E6F23">
                          <w:t>Asia</w:t>
                        </w:r>
                        <w:proofErr w:type="spellEnd"/>
                        <w:r w:rsidRPr="000E6F23">
                          <w:t>-Europe Meeting (ASEM</w:t>
                        </w:r>
                        <w:r>
                          <w:t>)</w:t>
                        </w:r>
                      </w:p>
                      <w:p w:rsidR="00F075A0" w:rsidRPr="000E6F23" w:rsidRDefault="00F075A0" w:rsidP="00F075A0">
                        <w:r w:rsidRPr="000E6F23">
                          <w:t>Tijdens de 11e zitting van de Werkgroep Douane-aangelegenheden van ASEM (AWC), die van 25 tot 27 april 2017 in Polen plaatsvond, hebben vertegenwoordigers van de douanediensten van de Benelux-landen en van India de resultaten van een gezamenlijk onderzoek gepresenteerd.</w:t>
                        </w:r>
                      </w:p>
                      <w:p w:rsidR="00F075A0" w:rsidRPr="000E6F23" w:rsidRDefault="00F075A0" w:rsidP="00F075A0">
                        <w:r w:rsidRPr="000E6F23">
                          <w:t>De douaneautoriteiten hebben gezamenlijk onderzoek verricht naar de inzet van digitale douaneprocedures in het nationale en het internationale verkeer. Deze vragenlijst heeft tot doel zicht te krijgen op de niveauverschillen in digitalisering en een stand van zaken m.b.t. het papierloos verkeer bij de douanediensten op te maken. In totaal hebben 36 douanediensten uit Europa en Azië de vragenlijst beantwoord. De onderzoeksresultaten zijn hieronder beschikbaar.</w:t>
                        </w:r>
                      </w:p>
                      <w:p w:rsidR="00F075A0" w:rsidRDefault="00F075A0" w:rsidP="00F075A0">
                        <w:r w:rsidRPr="000E6F23">
                          <w:t xml:space="preserve">Sinds oktober 2015 zijn de vier landen gestart met een samenwerking rond digitalisering van douaneprocedures in opdracht van de </w:t>
                        </w:r>
                        <w:proofErr w:type="spellStart"/>
                        <w:r w:rsidRPr="000E6F23">
                          <w:t>Asia</w:t>
                        </w:r>
                        <w:proofErr w:type="spellEnd"/>
                        <w:r w:rsidRPr="000E6F23">
                          <w:t>-Europe Meeting (ASEM) met als taak de samenwerking tussen de Europese en de Aziatische landen te versterken.</w:t>
                        </w:r>
                      </w:p>
                      <w:p w:rsidR="00F075A0" w:rsidRDefault="00F075A0" w:rsidP="00F075A0">
                        <w:r w:rsidRPr="000E6F23">
                          <w:t xml:space="preserve">Tijdens de komende maanden gaan India en Benelux de lijnen uitzetten van een pilot voor de digitalisering van gewasbeschermingscertificaten tussen douanediensten in samenwerking met de autoriteiten voor de veiligheid van de voedselketen. </w:t>
                        </w:r>
                      </w:p>
                      <w:p w:rsidR="00F075A0" w:rsidRDefault="00675A0F" w:rsidP="00250F5B">
                        <w:pPr>
                          <w:pStyle w:val="Geenafstand"/>
                          <w:ind w:left="147"/>
                          <w:rPr>
                            <w:rFonts w:ascii="Verdana" w:hAnsi="Verdana"/>
                            <w:sz w:val="16"/>
                            <w:szCs w:val="16"/>
                            <w:lang w:val="nl-BE"/>
                          </w:rPr>
                        </w:pPr>
                        <w:hyperlink r:id="rId51" w:history="1">
                          <w:r w:rsidR="00F075A0" w:rsidRPr="00F518DD">
                            <w:rPr>
                              <w:rStyle w:val="Hyperlink"/>
                              <w:rFonts w:ascii="Verdana" w:hAnsi="Verdana"/>
                              <w:sz w:val="16"/>
                              <w:szCs w:val="16"/>
                              <w:lang w:val="nl-BE"/>
                            </w:rPr>
                            <w:t>http://www.benelux.int/nl/nieuws/benelux-en-india-presenteren-resultaten-van-het-onderzoek-papierloze-douaneprocedures-aan-asia-europe-meeting-asem</w:t>
                          </w:r>
                        </w:hyperlink>
                      </w:p>
                      <w:p w:rsidR="00F075A0" w:rsidRDefault="00F075A0" w:rsidP="00F075A0">
                        <w:pPr>
                          <w:pStyle w:val="Kop2"/>
                        </w:pPr>
                      </w:p>
                      <w:p w:rsidR="00F075A0" w:rsidRDefault="00F075A0" w:rsidP="00F075A0">
                        <w:pPr>
                          <w:pStyle w:val="Kop2"/>
                        </w:pPr>
                        <w:r w:rsidRPr="00265CFE">
                          <w:t>EU lanceert nieuw e-certificeringssysteem voor ingevoerde biologische producten</w:t>
                        </w:r>
                      </w:p>
                      <w:p w:rsidR="00F075A0" w:rsidRPr="00F075A0" w:rsidRDefault="00F075A0" w:rsidP="00F075A0">
                        <w:r w:rsidRPr="00F075A0">
                          <w:t>Op 18/04 kondigde de Commissie met een persbericht aan dat er een nieuw elektronisch certificeringssysteem voor een beter toezicht op de invoer van biologische producten in gebruik wordt genomen. Het systeem maakt van de EU een wereldleider inzake traceerbaarheid en de verzameling van betrouwbare gegevens over de handel in biologische producten.</w:t>
                        </w:r>
                      </w:p>
                      <w:p w:rsidR="00F075A0" w:rsidRPr="00F075A0" w:rsidRDefault="00675A0F" w:rsidP="00F075A0">
                        <w:pPr>
                          <w:pStyle w:val="Geenafstand"/>
                          <w:ind w:left="147"/>
                          <w:rPr>
                            <w:rFonts w:ascii="Verdana" w:hAnsi="Verdana"/>
                            <w:sz w:val="16"/>
                            <w:szCs w:val="16"/>
                            <w:lang w:val="nl-BE"/>
                          </w:rPr>
                        </w:pPr>
                        <w:hyperlink r:id="rId52" w:history="1">
                          <w:r w:rsidR="00F075A0" w:rsidRPr="00F518DD">
                            <w:rPr>
                              <w:rStyle w:val="Hyperlink"/>
                              <w:rFonts w:ascii="Verdana" w:hAnsi="Verdana"/>
                              <w:sz w:val="16"/>
                              <w:szCs w:val="16"/>
                              <w:lang w:val="nl-BE"/>
                            </w:rPr>
                            <w:t>http://europa.eu/rapid/press-release_IP-17-963_nl.htm</w:t>
                          </w:r>
                        </w:hyperlink>
                      </w:p>
                    </w:tc>
                  </w:tr>
                </w:tbl>
                <w:p w:rsidR="00A80140" w:rsidRDefault="00A80140" w:rsidP="00F075A0"/>
              </w:tc>
            </w:tr>
          </w:tbl>
          <w:p w:rsidR="00A80140" w:rsidRDefault="00A80140" w:rsidP="00F075A0"/>
        </w:tc>
        <w:tc>
          <w:tcPr>
            <w:tcW w:w="0" w:type="auto"/>
            <w:shd w:val="clear" w:color="auto" w:fill="FFFFFF"/>
            <w:vAlign w:val="center"/>
            <w:hideMark/>
          </w:tcPr>
          <w:p w:rsidR="00A80140" w:rsidRDefault="00A80140" w:rsidP="00F075A0"/>
        </w:tc>
        <w:tc>
          <w:tcPr>
            <w:tcW w:w="0" w:type="auto"/>
            <w:shd w:val="clear" w:color="auto" w:fill="19345F"/>
            <w:vAlign w:val="center"/>
            <w:hideMark/>
          </w:tcPr>
          <w:p w:rsidR="00A80140" w:rsidRDefault="00A80140" w:rsidP="00F075A0"/>
        </w:tc>
      </w:tr>
      <w:tr w:rsidR="00A80140" w:rsidTr="00494110">
        <w:trPr>
          <w:trHeight w:val="225"/>
          <w:tblCellSpacing w:w="0" w:type="dxa"/>
          <w:jc w:val="center"/>
        </w:trPr>
        <w:tc>
          <w:tcPr>
            <w:tcW w:w="284" w:type="dxa"/>
            <w:shd w:val="clear" w:color="auto" w:fill="19345F"/>
            <w:vAlign w:val="center"/>
            <w:hideMark/>
          </w:tcPr>
          <w:p w:rsidR="00A80140" w:rsidRDefault="00A80140" w:rsidP="00F075A0"/>
        </w:tc>
        <w:tc>
          <w:tcPr>
            <w:tcW w:w="20" w:type="dxa"/>
            <w:shd w:val="clear" w:color="auto" w:fill="FFFFFF"/>
            <w:vAlign w:val="center"/>
            <w:hideMark/>
          </w:tcPr>
          <w:p w:rsidR="00A80140" w:rsidRDefault="00A80140" w:rsidP="00F075A0"/>
        </w:tc>
        <w:tc>
          <w:tcPr>
            <w:tcW w:w="8171" w:type="dxa"/>
            <w:gridSpan w:val="2"/>
            <w:shd w:val="clear" w:color="auto" w:fill="FFFFFF"/>
            <w:vAlign w:val="center"/>
            <w:hideMark/>
          </w:tcPr>
          <w:p w:rsidR="00A80140" w:rsidRDefault="00A80140" w:rsidP="00F075A0"/>
        </w:tc>
        <w:tc>
          <w:tcPr>
            <w:tcW w:w="225" w:type="dxa"/>
            <w:shd w:val="clear" w:color="auto" w:fill="FFFFFF"/>
            <w:vAlign w:val="center"/>
            <w:hideMark/>
          </w:tcPr>
          <w:p w:rsidR="00A80140" w:rsidRDefault="00A80140" w:rsidP="00F075A0"/>
        </w:tc>
        <w:tc>
          <w:tcPr>
            <w:tcW w:w="0" w:type="auto"/>
            <w:shd w:val="clear" w:color="auto" w:fill="19345F"/>
            <w:vAlign w:val="center"/>
            <w:hideMark/>
          </w:tcPr>
          <w:p w:rsidR="00A80140" w:rsidRDefault="00A80140" w:rsidP="00F075A0"/>
        </w:tc>
      </w:tr>
      <w:tr w:rsidR="00A80140" w:rsidTr="00494110">
        <w:trPr>
          <w:trHeight w:val="300"/>
          <w:tblCellSpacing w:w="0" w:type="dxa"/>
          <w:jc w:val="center"/>
        </w:trPr>
        <w:tc>
          <w:tcPr>
            <w:tcW w:w="284" w:type="dxa"/>
            <w:shd w:val="clear" w:color="auto" w:fill="19345F"/>
            <w:vAlign w:val="center"/>
            <w:hideMark/>
          </w:tcPr>
          <w:p w:rsidR="00A80140" w:rsidRDefault="00A80140" w:rsidP="00F075A0"/>
        </w:tc>
        <w:tc>
          <w:tcPr>
            <w:tcW w:w="20" w:type="dxa"/>
            <w:shd w:val="clear" w:color="auto" w:fill="19345F"/>
            <w:vAlign w:val="center"/>
            <w:hideMark/>
          </w:tcPr>
          <w:p w:rsidR="00A80140" w:rsidRDefault="00A80140" w:rsidP="00F075A0"/>
        </w:tc>
        <w:tc>
          <w:tcPr>
            <w:tcW w:w="8171" w:type="dxa"/>
            <w:gridSpan w:val="2"/>
            <w:shd w:val="clear" w:color="auto" w:fill="19345F"/>
            <w:vAlign w:val="center"/>
            <w:hideMark/>
          </w:tcPr>
          <w:p w:rsidR="00A80140" w:rsidRDefault="00A80140" w:rsidP="00F075A0"/>
        </w:tc>
        <w:tc>
          <w:tcPr>
            <w:tcW w:w="0" w:type="auto"/>
            <w:shd w:val="clear" w:color="auto" w:fill="19345F"/>
            <w:vAlign w:val="center"/>
            <w:hideMark/>
          </w:tcPr>
          <w:p w:rsidR="00A80140" w:rsidRDefault="00A80140" w:rsidP="00F075A0"/>
        </w:tc>
        <w:tc>
          <w:tcPr>
            <w:tcW w:w="300" w:type="dxa"/>
            <w:shd w:val="clear" w:color="auto" w:fill="19345F"/>
            <w:vAlign w:val="center"/>
            <w:hideMark/>
          </w:tcPr>
          <w:p w:rsidR="00A80140" w:rsidRDefault="00A80140" w:rsidP="00F075A0">
            <w:r>
              <w:rPr>
                <w:noProof/>
              </w:rPr>
              <w:drawing>
                <wp:inline distT="0" distB="0" distL="0" distR="0">
                  <wp:extent cx="190500" cy="190500"/>
                  <wp:effectExtent l="0" t="0" r="0" b="0"/>
                  <wp:docPr id="33" name="Afbeelding 33" descr="http://cdn.voka.addemar.com/files/a_vokaantwerpen/data/Image/logo/sp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cdn.voka.addemar.com/files/a_vokaantwerpen/data/Image/logo/spc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A80140" w:rsidRDefault="00A80140" w:rsidP="00F075A0"/>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80140" w:rsidTr="00A80140">
        <w:trPr>
          <w:tblCellSpacing w:w="0" w:type="dxa"/>
          <w:jc w:val="center"/>
        </w:trPr>
        <w:tc>
          <w:tcPr>
            <w:tcW w:w="0" w:type="auto"/>
            <w:shd w:val="clear" w:color="auto" w:fill="FFFFFF"/>
            <w:vAlign w:val="center"/>
            <w:hideMark/>
          </w:tcPr>
          <w:p w:rsidR="00A80140" w:rsidRDefault="00A80140" w:rsidP="00F075A0"/>
        </w:tc>
      </w:tr>
    </w:tbl>
    <w:p w:rsidR="00A80140" w:rsidRDefault="00A80140" w:rsidP="00F075A0"/>
    <w:p w:rsidR="00A80140" w:rsidRDefault="00A80140" w:rsidP="00F075A0"/>
    <w:sectPr w:rsidR="00A80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12553"/>
    <w:multiLevelType w:val="hybridMultilevel"/>
    <w:tmpl w:val="462C68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88"/>
    <w:rsid w:val="001F4788"/>
    <w:rsid w:val="00250F5B"/>
    <w:rsid w:val="00494110"/>
    <w:rsid w:val="004D7B6C"/>
    <w:rsid w:val="0053754B"/>
    <w:rsid w:val="00675A0F"/>
    <w:rsid w:val="00677EAA"/>
    <w:rsid w:val="007649A8"/>
    <w:rsid w:val="00A80140"/>
    <w:rsid w:val="00AE48CD"/>
    <w:rsid w:val="00F075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B687"/>
  <w15:chartTrackingRefBased/>
  <w15:docId w15:val="{7A72922C-07E1-4ECB-8595-CE96B0E8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075A0"/>
    <w:pPr>
      <w:spacing w:after="75" w:line="240" w:lineRule="auto"/>
      <w:ind w:left="111"/>
      <w:outlineLvl w:val="2"/>
    </w:pPr>
    <w:rPr>
      <w:rFonts w:ascii="Arial" w:eastAsia="Times New Roman" w:hAnsi="Arial" w:cs="Arial"/>
      <w:iCs/>
      <w:sz w:val="20"/>
      <w:szCs w:val="20"/>
      <w:lang w:eastAsia="nl-BE"/>
    </w:rPr>
  </w:style>
  <w:style w:type="paragraph" w:styleId="Kop1">
    <w:name w:val="heading 1"/>
    <w:basedOn w:val="Standaard"/>
    <w:link w:val="Kop1Char"/>
    <w:uiPriority w:val="9"/>
    <w:qFormat/>
    <w:rsid w:val="001F4788"/>
    <w:pPr>
      <w:spacing w:line="420" w:lineRule="atLeast"/>
      <w:outlineLvl w:val="0"/>
    </w:pPr>
    <w:rPr>
      <w:b/>
      <w:bCs/>
      <w:caps/>
      <w:color w:val="19345F"/>
      <w:kern w:val="36"/>
      <w:sz w:val="48"/>
      <w:szCs w:val="48"/>
    </w:rPr>
  </w:style>
  <w:style w:type="paragraph" w:styleId="Kop2">
    <w:name w:val="heading 2"/>
    <w:basedOn w:val="Kop3"/>
    <w:next w:val="Standaard"/>
    <w:link w:val="Kop2Char"/>
    <w:uiPriority w:val="9"/>
    <w:unhideWhenUsed/>
    <w:qFormat/>
    <w:rsid w:val="00F075A0"/>
    <w:pPr>
      <w:outlineLvl w:val="1"/>
    </w:pPr>
    <w:rPr>
      <w:rFonts w:ascii="Georgia" w:hAnsi="Georgia"/>
      <w:b w:val="0"/>
      <w:i/>
      <w:iCs w:val="0"/>
      <w:caps w:val="0"/>
    </w:rPr>
  </w:style>
  <w:style w:type="paragraph" w:styleId="Kop3">
    <w:name w:val="heading 3"/>
    <w:basedOn w:val="Standaard"/>
    <w:link w:val="Kop3Char"/>
    <w:uiPriority w:val="9"/>
    <w:unhideWhenUsed/>
    <w:qFormat/>
    <w:rsid w:val="001F4788"/>
    <w:rPr>
      <w:b/>
      <w:bCs/>
      <w:caps/>
      <w:color w:val="19345F"/>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4788"/>
    <w:rPr>
      <w:rFonts w:ascii="Arial" w:hAnsi="Arial" w:cs="Arial"/>
      <w:b/>
      <w:bCs/>
      <w:caps/>
      <w:color w:val="19345F"/>
      <w:kern w:val="36"/>
      <w:sz w:val="48"/>
      <w:szCs w:val="48"/>
      <w:lang w:eastAsia="nl-BE"/>
    </w:rPr>
  </w:style>
  <w:style w:type="character" w:customStyle="1" w:styleId="Kop3Char">
    <w:name w:val="Kop 3 Char"/>
    <w:basedOn w:val="Standaardalinea-lettertype"/>
    <w:link w:val="Kop3"/>
    <w:uiPriority w:val="9"/>
    <w:rsid w:val="001F4788"/>
    <w:rPr>
      <w:rFonts w:ascii="Arial" w:hAnsi="Arial" w:cs="Arial"/>
      <w:b/>
      <w:bCs/>
      <w:caps/>
      <w:color w:val="19345F"/>
      <w:sz w:val="27"/>
      <w:szCs w:val="27"/>
      <w:lang w:eastAsia="nl-BE"/>
    </w:rPr>
  </w:style>
  <w:style w:type="character" w:styleId="Hyperlink">
    <w:name w:val="Hyperlink"/>
    <w:basedOn w:val="Standaardalinea-lettertype"/>
    <w:uiPriority w:val="99"/>
    <w:unhideWhenUsed/>
    <w:rsid w:val="001F4788"/>
    <w:rPr>
      <w:strike w:val="0"/>
      <w:dstrike w:val="0"/>
      <w:color w:val="19345F"/>
      <w:u w:val="none"/>
      <w:effect w:val="none"/>
    </w:rPr>
  </w:style>
  <w:style w:type="character" w:styleId="Zwaar">
    <w:name w:val="Strong"/>
    <w:basedOn w:val="Standaardalinea-lettertype"/>
    <w:uiPriority w:val="22"/>
    <w:qFormat/>
    <w:rsid w:val="001F4788"/>
    <w:rPr>
      <w:b/>
      <w:bCs/>
    </w:rPr>
  </w:style>
  <w:style w:type="paragraph" w:styleId="Geenafstand">
    <w:name w:val="No Spacing"/>
    <w:uiPriority w:val="1"/>
    <w:qFormat/>
    <w:rsid w:val="001F4788"/>
    <w:pPr>
      <w:spacing w:after="0" w:line="240" w:lineRule="auto"/>
    </w:pPr>
    <w:rPr>
      <w:rFonts w:ascii="Times New Roman" w:eastAsia="Times New Roman" w:hAnsi="Times New Roman" w:cs="Times New Roman"/>
      <w:sz w:val="20"/>
      <w:szCs w:val="20"/>
      <w:lang w:val="en-GB"/>
    </w:rPr>
  </w:style>
  <w:style w:type="character" w:customStyle="1" w:styleId="Kop2Char">
    <w:name w:val="Kop 2 Char"/>
    <w:basedOn w:val="Standaardalinea-lettertype"/>
    <w:link w:val="Kop2"/>
    <w:uiPriority w:val="9"/>
    <w:rsid w:val="00F075A0"/>
    <w:rPr>
      <w:rFonts w:ascii="Georgia" w:hAnsi="Georgia" w:cs="Arial"/>
      <w:bCs/>
      <w:i/>
      <w:iCs/>
      <w:color w:val="19345F"/>
      <w:sz w:val="27"/>
      <w:szCs w:val="27"/>
      <w:lang w:eastAsia="nl-BE"/>
    </w:rPr>
  </w:style>
  <w:style w:type="paragraph" w:styleId="Lijstalinea">
    <w:name w:val="List Paragraph"/>
    <w:basedOn w:val="Standaard"/>
    <w:uiPriority w:val="34"/>
    <w:qFormat/>
    <w:rsid w:val="00677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158768">
      <w:bodyDiv w:val="1"/>
      <w:marLeft w:val="0"/>
      <w:marRight w:val="0"/>
      <w:marTop w:val="0"/>
      <w:marBottom w:val="0"/>
      <w:divBdr>
        <w:top w:val="none" w:sz="0" w:space="0" w:color="auto"/>
        <w:left w:val="none" w:sz="0" w:space="0" w:color="auto"/>
        <w:bottom w:val="none" w:sz="0" w:space="0" w:color="auto"/>
        <w:right w:val="none" w:sz="0" w:space="0" w:color="auto"/>
      </w:divBdr>
    </w:div>
    <w:div w:id="1030566275">
      <w:bodyDiv w:val="1"/>
      <w:marLeft w:val="0"/>
      <w:marRight w:val="0"/>
      <w:marTop w:val="0"/>
      <w:marBottom w:val="0"/>
      <w:divBdr>
        <w:top w:val="none" w:sz="0" w:space="0" w:color="auto"/>
        <w:left w:val="none" w:sz="0" w:space="0" w:color="auto"/>
        <w:bottom w:val="none" w:sz="0" w:space="0" w:color="auto"/>
        <w:right w:val="none" w:sz="0" w:space="0" w:color="auto"/>
      </w:divBdr>
    </w:div>
    <w:div w:id="1052117197">
      <w:bodyDiv w:val="1"/>
      <w:marLeft w:val="0"/>
      <w:marRight w:val="0"/>
      <w:marTop w:val="0"/>
      <w:marBottom w:val="0"/>
      <w:divBdr>
        <w:top w:val="none" w:sz="0" w:space="0" w:color="auto"/>
        <w:left w:val="none" w:sz="0" w:space="0" w:color="auto"/>
        <w:bottom w:val="none" w:sz="0" w:space="0" w:color="auto"/>
        <w:right w:val="none" w:sz="0" w:space="0" w:color="auto"/>
      </w:divBdr>
    </w:div>
    <w:div w:id="206374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NL/TXT/PDF/?uri=CELEX:32017R0367&amp;from=NL" TargetMode="External"/><Relationship Id="rId18" Type="http://schemas.openxmlformats.org/officeDocument/2006/relationships/hyperlink" Target="http://eur-lex.europa.eu/legal-content/NL/TXT/PDF/?uri=CELEX:32017R0454&amp;from=NL" TargetMode="External"/><Relationship Id="rId26" Type="http://schemas.openxmlformats.org/officeDocument/2006/relationships/hyperlink" Target="http://eur-lex.europa.eu/legal-content/NL/TXT/PDF/?uri=CELEX:52017XC0412(03)&amp;from=NL" TargetMode="External"/><Relationship Id="rId39" Type="http://schemas.openxmlformats.org/officeDocument/2006/relationships/hyperlink" Target="http://ec.europa.eu/info/law/better-regulation/initiatives/ares-2017-1269359_en" TargetMode="External"/><Relationship Id="rId21" Type="http://schemas.openxmlformats.org/officeDocument/2006/relationships/hyperlink" Target="http://eur-lex.europa.eu/legal-content/NL/TXT/PDF/?uri=CELEX:32017R0659&amp;from=NL" TargetMode="External"/><Relationship Id="rId34" Type="http://schemas.openxmlformats.org/officeDocument/2006/relationships/hyperlink" Target="http://www.wcoomd.org/en/media/wco-news-magazine/latest.aspx" TargetMode="External"/><Relationship Id="rId42" Type="http://schemas.openxmlformats.org/officeDocument/2006/relationships/hyperlink" Target="http://eur-lex.europa.eu/legal-content/NL/TXT/PDF/?uri=CELEX:32015R2446R(03)&amp;from=NL" TargetMode="External"/><Relationship Id="rId47" Type="http://schemas.openxmlformats.org/officeDocument/2006/relationships/hyperlink" Target="http://eur-lex.europa.eu/legal-content/NL/TXT/PDF/?uri=CELEX:32017R0750&amp;from=NL" TargetMode="External"/><Relationship Id="rId50" Type="http://schemas.openxmlformats.org/officeDocument/2006/relationships/hyperlink" Target="http://ccff02.minfin.fgov.be/KMWeb/document.do?method=view&amp;id=effcef7c-2ad6-4cbe-bb77-f8ce4e20f609&amp;caller=1" TargetMode="External"/><Relationship Id="rId7" Type="http://schemas.openxmlformats.org/officeDocument/2006/relationships/hyperlink" Target="http://eur-lex.europa.eu/legal-content/NL/TXT/PDF/?uri=CELEX:52017XC0128(05)" TargetMode="External"/><Relationship Id="rId2" Type="http://schemas.openxmlformats.org/officeDocument/2006/relationships/styles" Target="styles.xml"/><Relationship Id="rId16" Type="http://schemas.openxmlformats.org/officeDocument/2006/relationships/hyperlink" Target="http://eur-lex.europa.eu/legal-content/NL/TXT/PDF/?uri=CELEX:32017R0422&amp;from=NL" TargetMode="External"/><Relationship Id="rId29" Type="http://schemas.openxmlformats.org/officeDocument/2006/relationships/hyperlink" Target="http://eur-lex.europa.eu/legal-content/NL/TXT/PDF/?uri=CELEX:32017R0763&amp;from=NL" TargetMode="External"/><Relationship Id="rId11" Type="http://schemas.openxmlformats.org/officeDocument/2006/relationships/hyperlink" Target="http://eur-lex.europa.eu/legal-content/NL/TXT/PDF/?uri=CELEX:32017R0705&amp;from=NL" TargetMode="External"/><Relationship Id="rId24" Type="http://schemas.openxmlformats.org/officeDocument/2006/relationships/hyperlink" Target="http://eur-lex.europa.eu/legal-content/NL/TXT/PDF/?uri=CELEX:52017XC0411(01)&amp;from=NL" TargetMode="External"/><Relationship Id="rId32" Type="http://schemas.openxmlformats.org/officeDocument/2006/relationships/hyperlink" Target="http://eur-lex.europa.eu/legal-content/NL/TXT/PDF/?uri=OJ:JOC_2017_146_R_0009&amp;from=NL" TargetMode="External"/><Relationship Id="rId37" Type="http://schemas.openxmlformats.org/officeDocument/2006/relationships/hyperlink" Target="http://eur-lex.europa.eu/legal-content/NL/TXT/PDF/?uri=CELEX:52017XC0309(02)&amp;from=NL" TargetMode="External"/><Relationship Id="rId40" Type="http://schemas.openxmlformats.org/officeDocument/2006/relationships/hyperlink" Target="http://eur-lex.europa.eu/legal-content/NL/TXT/PDF/?uri=CELEX:52017XG0328(01)&amp;from=NL" TargetMode="External"/><Relationship Id="rId45" Type="http://schemas.openxmlformats.org/officeDocument/2006/relationships/hyperlink" Target="http://eur-lex.europa.eu/legal-content/NL/TXT/PDF/?uri=CELEX:32017D0728&amp;from=NL" TargetMode="External"/><Relationship Id="rId53"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eur-lex.europa.eu/legal-content/NL/TXT/PDF/?uri=CELEX:52017XC0324(01)&amp;from=NL" TargetMode="External"/><Relationship Id="rId19" Type="http://schemas.openxmlformats.org/officeDocument/2006/relationships/hyperlink" Target="http://eur-lex.europa.eu/legal-content/NL/TXT/PDF/?uri=CELEX:32017R0648&amp;from=NL" TargetMode="External"/><Relationship Id="rId31" Type="http://schemas.openxmlformats.org/officeDocument/2006/relationships/hyperlink" Target="http://eur-lex.europa.eu/legal-content/NL/TXT/?uri=uriserv:OJ.C_.2017.146.01.0009.01.NLD&amp;toc=OJ:C:2017:146:TOC" TargetMode="External"/><Relationship Id="rId44" Type="http://schemas.openxmlformats.org/officeDocument/2006/relationships/hyperlink" Target="http://eur-lex.europa.eu/legal-content/NL/TXT/PDF/?uri=CELEX:32016R0341R(02)&amp;from=NL" TargetMode="External"/><Relationship Id="rId52" Type="http://schemas.openxmlformats.org/officeDocument/2006/relationships/hyperlink" Target="http://europa.eu/rapid/press-release_IP-17-963_nl.htm" TargetMode="External"/><Relationship Id="rId4" Type="http://schemas.openxmlformats.org/officeDocument/2006/relationships/webSettings" Target="webSettings.xml"/><Relationship Id="rId9" Type="http://schemas.openxmlformats.org/officeDocument/2006/relationships/hyperlink" Target="http://eur-lex.europa.eu/legal-content/NL/TXT/PDF/?uri=CELEX:32017R0636&amp;from=NL" TargetMode="External"/><Relationship Id="rId14" Type="http://schemas.openxmlformats.org/officeDocument/2006/relationships/hyperlink" Target="http://eur-lex.europa.eu/legal-content/NL/TXT/PDF/?uri=CELEX:52017XC0308(02)&amp;from=NL" TargetMode="External"/><Relationship Id="rId22" Type="http://schemas.openxmlformats.org/officeDocument/2006/relationships/hyperlink" Target="http://eur-lex.europa.eu/legal-content/NL/TXT/PDF/?uri=CELEX:32017R0678&amp;from=NL" TargetMode="External"/><Relationship Id="rId27" Type="http://schemas.openxmlformats.org/officeDocument/2006/relationships/hyperlink" Target="http://eur-lex.europa.eu/legal-content/NL/TXT/PDF/?uri=CELEX:52017XC0419(01)&amp;from=NL" TargetMode="External"/><Relationship Id="rId30" Type="http://schemas.openxmlformats.org/officeDocument/2006/relationships/hyperlink" Target="http://eur-lex.europa.eu/legal-content/NL/TXT/PDF/?uri=CELEX:32017R0777&amp;from=NL" TargetMode="External"/><Relationship Id="rId35" Type="http://schemas.openxmlformats.org/officeDocument/2006/relationships/hyperlink" Target="http://www.wcoomd.org/~/media/wco/public/global/pdf/topics/facilitation/activities-and-programmes/ecommerce/wco-study-report-on-e_commerce.pdf?db=web" TargetMode="External"/><Relationship Id="rId43" Type="http://schemas.openxmlformats.org/officeDocument/2006/relationships/hyperlink" Target="http://eur-lex.europa.eu/legal-content/NL/TXT/PDF/?uri=CELEX:32015R2447R(02)&amp;from=NL" TargetMode="External"/><Relationship Id="rId48" Type="http://schemas.openxmlformats.org/officeDocument/2006/relationships/hyperlink" Target="http://ccff02.minfin.fgov.be/KMWeb/document.do?method=view&amp;id=8c11abdf-0da3-4311-9e4a-28ae62b9f13b&amp;caller=1" TargetMode="External"/><Relationship Id="rId8" Type="http://schemas.openxmlformats.org/officeDocument/2006/relationships/hyperlink" Target="http://eur-lex.europa.eu/legal-content/NL/TXT/PDF/?uri=CELEX:32017R0635&amp;from=NL" TargetMode="External"/><Relationship Id="rId51" Type="http://schemas.openxmlformats.org/officeDocument/2006/relationships/hyperlink" Target="http://www.benelux.int/nl/nieuws/benelux-en-india-presenteren-resultaten-van-het-onderzoek-papierloze-douaneprocedures-aan-asia-europe-meeting-asem" TargetMode="External"/><Relationship Id="rId3" Type="http://schemas.openxmlformats.org/officeDocument/2006/relationships/settings" Target="settings.xml"/><Relationship Id="rId12" Type="http://schemas.openxmlformats.org/officeDocument/2006/relationships/hyperlink" Target="http://eur-lex.europa.eu/legal-content/NL/TXT/PDF/?uri=CELEX:32017R0366&amp;from=NL" TargetMode="External"/><Relationship Id="rId17" Type="http://schemas.openxmlformats.org/officeDocument/2006/relationships/hyperlink" Target="http://eur-lex.europa.eu/legal-content/NL/TXT/PDF/?uri=CELEX:32017R0423&amp;from=NL" TargetMode="External"/><Relationship Id="rId25" Type="http://schemas.openxmlformats.org/officeDocument/2006/relationships/hyperlink" Target="http://eur-lex.europa.eu/legal-content/NL/TXT/PDF/?uri=CELEX:52017XC0412(02)&amp;from=NL" TargetMode="External"/><Relationship Id="rId33" Type="http://schemas.openxmlformats.org/officeDocument/2006/relationships/hyperlink" Target="http://eur-lex.europa.eu/legal-content/NL/TXT/PDF/?uri=CELEX:32017R0804&amp;from=NL" TargetMode="External"/><Relationship Id="rId38" Type="http://schemas.openxmlformats.org/officeDocument/2006/relationships/hyperlink" Target="http://eur-lex.europa.eu/legal-content/NL/TXT/PDF/?uri=CELEX:32017D0471&amp;from=NL" TargetMode="External"/><Relationship Id="rId46" Type="http://schemas.openxmlformats.org/officeDocument/2006/relationships/hyperlink" Target="http://ccff02.minfin.fgov.be/KMWeb/document.do?method=view&amp;id=f46df9b3-113a-4a7a-a5de-e46d59ca3f5a&amp;caller=1" TargetMode="External"/><Relationship Id="rId20" Type="http://schemas.openxmlformats.org/officeDocument/2006/relationships/hyperlink" Target="http://eur-lex.europa.eu/legal-content/NL/TXT/PDF/?uri=CELEX:32017R0649&amp;from=NL" TargetMode="External"/><Relationship Id="rId41" Type="http://schemas.openxmlformats.org/officeDocument/2006/relationships/hyperlink" Target="http://europa.eu/rapid/press-release_IP-17-627_nl.ht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hyperlink" Target="http://eur-lex.europa.eu/legal-content/NL/TXT/PDF/?uri=CELEX:32017R0421&amp;from=NL" TargetMode="External"/><Relationship Id="rId23" Type="http://schemas.openxmlformats.org/officeDocument/2006/relationships/hyperlink" Target="http://eur-lex.europa.eu/legal-content/NL/TXT/PDF/?uri=CELEX:32017R0679&amp;from=NL" TargetMode="External"/><Relationship Id="rId28" Type="http://schemas.openxmlformats.org/officeDocument/2006/relationships/hyperlink" Target="http://eur-lex.europa.eu/legal-content/NL/TXT/PDF/?uri=CELEX:52017XC0419(02)&amp;from=NL" TargetMode="External"/><Relationship Id="rId36" Type="http://schemas.openxmlformats.org/officeDocument/2006/relationships/hyperlink" Target="https://ec.europa.eu/agriculture/external-studies/2016-bilateral-trade-agreements_en" TargetMode="External"/><Relationship Id="rId49" Type="http://schemas.openxmlformats.org/officeDocument/2006/relationships/hyperlink" Target="http://eur-lex.europa.eu/legal-content/NL/TXT/PDF/?uri=CELEX:32017R0762&amp;fro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3710</Words>
  <Characters>20405</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Aken Eliene</dc:creator>
  <cp:keywords/>
  <dc:description/>
  <cp:lastModifiedBy>Van Aken Eliene</cp:lastModifiedBy>
  <cp:revision>6</cp:revision>
  <dcterms:created xsi:type="dcterms:W3CDTF">2017-05-17T09:35:00Z</dcterms:created>
  <dcterms:modified xsi:type="dcterms:W3CDTF">2017-05-17T10:05:00Z</dcterms:modified>
</cp:coreProperties>
</file>